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E17" w:rsidRPr="00E00BE7" w:rsidRDefault="00701E17" w:rsidP="003969BA">
      <w:pPr>
        <w:spacing w:before="240" w:after="0" w:line="240" w:lineRule="auto"/>
        <w:ind w:left="567" w:right="1701" w:firstLine="113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00BE7">
        <w:rPr>
          <w:rFonts w:ascii="Times New Roman" w:hAnsi="Times New Roman" w:cs="Times New Roman"/>
          <w:b/>
          <w:sz w:val="26"/>
          <w:szCs w:val="26"/>
        </w:rPr>
        <w:t>Аналіз регуляторного впливу</w:t>
      </w:r>
    </w:p>
    <w:p w:rsidR="00701E17" w:rsidRPr="00904F8A" w:rsidRDefault="00701E17" w:rsidP="003969B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4F8A">
        <w:rPr>
          <w:rFonts w:ascii="Times New Roman" w:hAnsi="Times New Roman" w:cs="Times New Roman"/>
          <w:sz w:val="26"/>
          <w:szCs w:val="26"/>
        </w:rPr>
        <w:t xml:space="preserve">до </w:t>
      </w:r>
      <w:proofErr w:type="spellStart"/>
      <w:r w:rsidR="008D32A4" w:rsidRPr="00904F8A">
        <w:rPr>
          <w:rFonts w:ascii="Times New Roman" w:hAnsi="Times New Roman" w:cs="Times New Roman"/>
          <w:sz w:val="26"/>
          <w:szCs w:val="26"/>
        </w:rPr>
        <w:t>проєкту</w:t>
      </w:r>
      <w:proofErr w:type="spellEnd"/>
      <w:r w:rsidR="008D32A4" w:rsidRPr="00904F8A">
        <w:rPr>
          <w:rFonts w:ascii="Times New Roman" w:hAnsi="Times New Roman" w:cs="Times New Roman"/>
          <w:sz w:val="26"/>
          <w:szCs w:val="26"/>
        </w:rPr>
        <w:t xml:space="preserve"> регуляторного </w:t>
      </w:r>
      <w:proofErr w:type="spellStart"/>
      <w:r w:rsidR="008D32A4" w:rsidRPr="00904F8A">
        <w:rPr>
          <w:rFonts w:ascii="Times New Roman" w:hAnsi="Times New Roman" w:cs="Times New Roman"/>
          <w:sz w:val="26"/>
          <w:szCs w:val="26"/>
        </w:rPr>
        <w:t>акта</w:t>
      </w:r>
      <w:proofErr w:type="spellEnd"/>
      <w:r w:rsidRPr="00904F8A">
        <w:rPr>
          <w:rFonts w:ascii="Times New Roman" w:hAnsi="Times New Roman" w:cs="Times New Roman"/>
          <w:sz w:val="26"/>
          <w:szCs w:val="26"/>
        </w:rPr>
        <w:t xml:space="preserve">: Рішення Обухівської міської ради «Про </w:t>
      </w:r>
      <w:r w:rsidR="00993F10" w:rsidRPr="00904F8A">
        <w:rPr>
          <w:rFonts w:ascii="Times New Roman" w:hAnsi="Times New Roman" w:cs="Times New Roman"/>
          <w:sz w:val="26"/>
          <w:szCs w:val="26"/>
        </w:rPr>
        <w:t xml:space="preserve">затвердження </w:t>
      </w:r>
      <w:r w:rsidR="007D0A4C" w:rsidRPr="00904F8A">
        <w:rPr>
          <w:rFonts w:ascii="Times New Roman" w:hAnsi="Times New Roman" w:cs="Times New Roman"/>
          <w:sz w:val="26"/>
          <w:szCs w:val="26"/>
        </w:rPr>
        <w:t xml:space="preserve">Порядку розміщення тимчасових споруд для провадження підприємницької діяльності на території Обухівської міської територіальної громади </w:t>
      </w:r>
      <w:r w:rsidR="003969BA" w:rsidRPr="00904F8A">
        <w:rPr>
          <w:rFonts w:ascii="Times New Roman" w:hAnsi="Times New Roman" w:cs="Times New Roman"/>
          <w:sz w:val="26"/>
          <w:szCs w:val="26"/>
        </w:rPr>
        <w:t xml:space="preserve">Обухівського району </w:t>
      </w:r>
      <w:r w:rsidR="007D0A4C" w:rsidRPr="00904F8A">
        <w:rPr>
          <w:rFonts w:ascii="Times New Roman" w:hAnsi="Times New Roman" w:cs="Times New Roman"/>
          <w:sz w:val="26"/>
          <w:szCs w:val="26"/>
        </w:rPr>
        <w:t>Київської області</w:t>
      </w:r>
      <w:r w:rsidRPr="00904F8A">
        <w:rPr>
          <w:rFonts w:ascii="Times New Roman" w:hAnsi="Times New Roman" w:cs="Times New Roman"/>
          <w:bCs/>
          <w:sz w:val="26"/>
          <w:szCs w:val="26"/>
        </w:rPr>
        <w:t xml:space="preserve">» </w:t>
      </w:r>
      <w:r w:rsidRPr="00904F8A">
        <w:rPr>
          <w:rFonts w:ascii="Times New Roman" w:hAnsi="Times New Roman" w:cs="Times New Roman"/>
          <w:sz w:val="26"/>
          <w:szCs w:val="26"/>
        </w:rPr>
        <w:t xml:space="preserve">розроблено відповідно до статті 8 Закону України «Про засади державної регуляторної політики у сфері господарської діяльності», Методики проведення аналізу впливу регуляторного </w:t>
      </w:r>
      <w:proofErr w:type="spellStart"/>
      <w:r w:rsidRPr="00904F8A">
        <w:rPr>
          <w:rFonts w:ascii="Times New Roman" w:hAnsi="Times New Roman" w:cs="Times New Roman"/>
          <w:sz w:val="26"/>
          <w:szCs w:val="26"/>
        </w:rPr>
        <w:t>акта</w:t>
      </w:r>
      <w:proofErr w:type="spellEnd"/>
      <w:r w:rsidRPr="00904F8A">
        <w:rPr>
          <w:rFonts w:ascii="Times New Roman" w:hAnsi="Times New Roman" w:cs="Times New Roman"/>
          <w:sz w:val="26"/>
          <w:szCs w:val="26"/>
        </w:rPr>
        <w:t>, затвердженої постановою Кабінету Міністрів України від 11.03.2004 № 308 зі змінами.</w:t>
      </w:r>
    </w:p>
    <w:p w:rsidR="00CA11DC" w:rsidRPr="00E00BE7" w:rsidRDefault="00CA11DC" w:rsidP="00701E1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84F72" w:rsidRPr="00284F72" w:rsidRDefault="00284F72" w:rsidP="00284F72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4F72">
        <w:rPr>
          <w:rFonts w:ascii="Times New Roman" w:hAnsi="Times New Roman" w:cs="Times New Roman"/>
          <w:b/>
          <w:sz w:val="26"/>
          <w:szCs w:val="26"/>
        </w:rPr>
        <w:t>Визначення проблеми</w:t>
      </w:r>
    </w:p>
    <w:p w:rsidR="003969BA" w:rsidRDefault="003969BA" w:rsidP="00284F7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613AB7" w:rsidRPr="00E00BE7" w:rsidRDefault="00613AB7" w:rsidP="00284F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00BE7">
        <w:rPr>
          <w:rFonts w:ascii="Times New Roman" w:hAnsi="Times New Roman" w:cs="Times New Roman"/>
          <w:sz w:val="26"/>
          <w:szCs w:val="26"/>
        </w:rPr>
        <w:t xml:space="preserve"> Дане рішення необхідно прийняти  відповідно до Законів Украї</w:t>
      </w:r>
      <w:bookmarkStart w:id="0" w:name="_GoBack"/>
      <w:bookmarkEnd w:id="0"/>
      <w:r w:rsidRPr="00E00BE7">
        <w:rPr>
          <w:rFonts w:ascii="Times New Roman" w:hAnsi="Times New Roman" w:cs="Times New Roman"/>
          <w:sz w:val="26"/>
          <w:szCs w:val="26"/>
        </w:rPr>
        <w:t>ни: «Про місц</w:t>
      </w:r>
      <w:r w:rsidR="00252CF2" w:rsidRPr="00E00BE7">
        <w:rPr>
          <w:rFonts w:ascii="Times New Roman" w:hAnsi="Times New Roman" w:cs="Times New Roman"/>
          <w:sz w:val="26"/>
          <w:szCs w:val="26"/>
        </w:rPr>
        <w:t>еве самоврядування в Україні»,</w:t>
      </w:r>
      <w:r w:rsidRPr="00E00BE7">
        <w:rPr>
          <w:rFonts w:ascii="Times New Roman" w:hAnsi="Times New Roman" w:cs="Times New Roman"/>
          <w:sz w:val="26"/>
          <w:szCs w:val="26"/>
        </w:rPr>
        <w:t xml:space="preserve"> «Про основи містобудування», «Про регулювання містобудівної діяльності», </w:t>
      </w:r>
      <w:r w:rsidR="00252CF2" w:rsidRPr="00E00BE7">
        <w:rPr>
          <w:rFonts w:ascii="Times New Roman" w:hAnsi="Times New Roman" w:cs="Times New Roman"/>
          <w:sz w:val="26"/>
          <w:szCs w:val="26"/>
        </w:rPr>
        <w:t xml:space="preserve">«Про благоустрій населених пунктів», Земельного кодексу України, Порядку розміщення тимчасових споруд для провадження підприємницької діяльності, затвердженого наказом Міністерства регіонального розвитку, будівництва та житлово-комунального господарства України від 21.10.2011 № 244, </w:t>
      </w:r>
      <w:r w:rsidRPr="00E00BE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інших нормативно-правових актів та спрямовані на створення умов, сприятливих для життєдіяльності людини, і є обов’язковими для виконання на території та населених пунктів, що входять до юрисдикції </w:t>
      </w:r>
      <w:r w:rsidRPr="00E00BE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Обухівської міської</w:t>
      </w:r>
      <w:r w:rsidRPr="00E00BE7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E00BE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E00BE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ради, всіма органами державної влади, органами місцевого самоврядування, підприємствами, установами, організаціями незалежно від форм власності та підпорядкування, органами самоорганізації населення, а також громадянами, у тому числі іноземцями та особами без громадянства.</w:t>
      </w:r>
    </w:p>
    <w:p w:rsidR="00613AB7" w:rsidRDefault="00613AB7" w:rsidP="00284F72">
      <w:pPr>
        <w:pStyle w:val="a3"/>
        <w:jc w:val="both"/>
        <w:rPr>
          <w:rFonts w:ascii="Times New Roman" w:hAnsi="Times New Roman"/>
          <w:szCs w:val="26"/>
        </w:rPr>
      </w:pPr>
      <w:r w:rsidRPr="00E00BE7">
        <w:rPr>
          <w:rFonts w:ascii="Times New Roman" w:hAnsi="Times New Roman"/>
          <w:szCs w:val="26"/>
        </w:rPr>
        <w:t>Основні групи (підгрупи), на які проблема справляє вплив:</w:t>
      </w:r>
    </w:p>
    <w:p w:rsidR="003969BA" w:rsidRPr="00E00BE7" w:rsidRDefault="003969BA" w:rsidP="00284F72">
      <w:pPr>
        <w:pStyle w:val="a3"/>
        <w:jc w:val="both"/>
        <w:rPr>
          <w:rFonts w:ascii="Times New Roman" w:hAnsi="Times New Roman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2"/>
        <w:gridCol w:w="2708"/>
        <w:gridCol w:w="2389"/>
      </w:tblGrid>
      <w:tr w:rsidR="00957C50" w:rsidRPr="00E00BE7" w:rsidTr="00E878F1">
        <w:tc>
          <w:tcPr>
            <w:tcW w:w="2271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center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Групи (підгрупи)</w:t>
            </w:r>
          </w:p>
        </w:tc>
        <w:tc>
          <w:tcPr>
            <w:tcW w:w="1450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center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Так</w:t>
            </w:r>
          </w:p>
        </w:tc>
        <w:tc>
          <w:tcPr>
            <w:tcW w:w="1279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center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Ні</w:t>
            </w:r>
          </w:p>
        </w:tc>
      </w:tr>
      <w:tr w:rsidR="00957C50" w:rsidRPr="00E00BE7" w:rsidTr="00E878F1">
        <w:tc>
          <w:tcPr>
            <w:tcW w:w="2271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Територіальна громада</w:t>
            </w:r>
          </w:p>
        </w:tc>
        <w:tc>
          <w:tcPr>
            <w:tcW w:w="1450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так</w:t>
            </w:r>
          </w:p>
        </w:tc>
        <w:tc>
          <w:tcPr>
            <w:tcW w:w="1279" w:type="pct"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</w:p>
        </w:tc>
      </w:tr>
      <w:tr w:rsidR="003012B3" w:rsidRPr="00E00BE7" w:rsidTr="00E878F1">
        <w:tc>
          <w:tcPr>
            <w:tcW w:w="2271" w:type="pct"/>
          </w:tcPr>
          <w:p w:rsidR="003012B3" w:rsidRPr="00E00BE7" w:rsidRDefault="003012B3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Громадяни</w:t>
            </w:r>
          </w:p>
        </w:tc>
        <w:tc>
          <w:tcPr>
            <w:tcW w:w="1450" w:type="pct"/>
          </w:tcPr>
          <w:p w:rsidR="003012B3" w:rsidRPr="00E00BE7" w:rsidRDefault="003012B3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так</w:t>
            </w:r>
          </w:p>
        </w:tc>
        <w:tc>
          <w:tcPr>
            <w:tcW w:w="1279" w:type="pct"/>
          </w:tcPr>
          <w:p w:rsidR="003012B3" w:rsidRPr="00E00BE7" w:rsidRDefault="003012B3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</w:p>
        </w:tc>
      </w:tr>
      <w:tr w:rsidR="00957C50" w:rsidRPr="00E00BE7" w:rsidTr="00E878F1">
        <w:tc>
          <w:tcPr>
            <w:tcW w:w="2271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Суб’єкти господарювання,</w:t>
            </w:r>
          </w:p>
        </w:tc>
        <w:tc>
          <w:tcPr>
            <w:tcW w:w="1450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так</w:t>
            </w:r>
          </w:p>
        </w:tc>
        <w:tc>
          <w:tcPr>
            <w:tcW w:w="1279" w:type="pct"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</w:p>
        </w:tc>
      </w:tr>
      <w:tr w:rsidR="00957C50" w:rsidRPr="00E00BE7" w:rsidTr="00E878F1">
        <w:tc>
          <w:tcPr>
            <w:tcW w:w="2271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у тому числі суб’єкти  підприємництва*</w:t>
            </w:r>
          </w:p>
        </w:tc>
        <w:tc>
          <w:tcPr>
            <w:tcW w:w="1450" w:type="pct"/>
            <w:hideMark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  <w:r w:rsidRPr="00E00BE7">
              <w:rPr>
                <w:rFonts w:ascii="Times New Roman" w:hAnsi="Times New Roman"/>
                <w:szCs w:val="26"/>
                <w:lang w:eastAsia="en-US"/>
              </w:rPr>
              <w:t>так</w:t>
            </w:r>
          </w:p>
        </w:tc>
        <w:tc>
          <w:tcPr>
            <w:tcW w:w="1279" w:type="pct"/>
          </w:tcPr>
          <w:p w:rsidR="00613AB7" w:rsidRPr="00E00BE7" w:rsidRDefault="00613AB7" w:rsidP="00284F72">
            <w:pPr>
              <w:pStyle w:val="a3"/>
              <w:spacing w:line="276" w:lineRule="auto"/>
              <w:ind w:firstLine="0"/>
              <w:jc w:val="both"/>
              <w:rPr>
                <w:rFonts w:ascii="Times New Roman" w:hAnsi="Times New Roman"/>
                <w:szCs w:val="26"/>
                <w:lang w:eastAsia="en-US"/>
              </w:rPr>
            </w:pPr>
          </w:p>
        </w:tc>
      </w:tr>
    </w:tbl>
    <w:p w:rsidR="003969BA" w:rsidRDefault="003969BA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t xml:space="preserve">Проблема, яку пропонується врегулювати в результаті прийняття регуляторного </w:t>
      </w:r>
      <w:proofErr w:type="spellStart"/>
      <w:r w:rsidRPr="00E00BE7">
        <w:rPr>
          <w:rFonts w:ascii="Times New Roman" w:eastAsiaTheme="minorHAnsi" w:hAnsi="Times New Roman"/>
          <w:szCs w:val="26"/>
          <w:lang w:eastAsia="en-US"/>
        </w:rPr>
        <w:t>акта</w:t>
      </w:r>
      <w:proofErr w:type="spellEnd"/>
      <w:r w:rsidRPr="00E00BE7">
        <w:rPr>
          <w:rFonts w:ascii="Times New Roman" w:eastAsiaTheme="minorHAnsi" w:hAnsi="Times New Roman"/>
          <w:szCs w:val="26"/>
          <w:lang w:eastAsia="en-US"/>
        </w:rPr>
        <w:t xml:space="preserve">, є важливою для громади і не може бути розв’язана за допомогою ринкових механізмів, оскільки згідно з чинним законодавством потребує врегулювання на місцевому рівні і не може бути розв’язана за допомогою діючих регуляторних актів, оскільки жоден з них не містить норми, які регулюють порушені питання. 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proofErr w:type="spellStart"/>
      <w:r w:rsidRPr="00E00BE7">
        <w:rPr>
          <w:rFonts w:ascii="Times New Roman" w:eastAsiaTheme="minorHAnsi" w:hAnsi="Times New Roman"/>
          <w:szCs w:val="26"/>
          <w:lang w:eastAsia="en-US"/>
        </w:rPr>
        <w:t>Проєкт</w:t>
      </w:r>
      <w:proofErr w:type="spellEnd"/>
      <w:r w:rsidRPr="00E00BE7">
        <w:rPr>
          <w:rFonts w:ascii="Times New Roman" w:eastAsiaTheme="minorHAnsi" w:hAnsi="Times New Roman"/>
          <w:szCs w:val="26"/>
          <w:lang w:eastAsia="en-US"/>
        </w:rPr>
        <w:t xml:space="preserve"> регуляторного </w:t>
      </w:r>
      <w:proofErr w:type="spellStart"/>
      <w:r w:rsidRPr="00E00BE7">
        <w:rPr>
          <w:rFonts w:ascii="Times New Roman" w:eastAsiaTheme="minorHAnsi" w:hAnsi="Times New Roman"/>
          <w:szCs w:val="26"/>
          <w:lang w:eastAsia="en-US"/>
        </w:rPr>
        <w:t>акта</w:t>
      </w:r>
      <w:proofErr w:type="spellEnd"/>
      <w:r w:rsidRPr="00E00BE7">
        <w:rPr>
          <w:rFonts w:ascii="Times New Roman" w:eastAsiaTheme="minorHAnsi" w:hAnsi="Times New Roman"/>
          <w:szCs w:val="26"/>
          <w:lang w:eastAsia="en-US"/>
        </w:rPr>
        <w:t xml:space="preserve"> підготовлено відповідно до принципів державної регуляторної політики у сфері господарської діяльності, а саме: забезпечення доцільності, ефективності та прозорості щодо застосування норм для суб’єктів господарювання. </w:t>
      </w:r>
    </w:p>
    <w:p w:rsidR="00E00BE7" w:rsidRPr="00E00BE7" w:rsidRDefault="00E00BE7" w:rsidP="00284F72">
      <w:pPr>
        <w:pStyle w:val="a3"/>
        <w:spacing w:before="0"/>
        <w:jc w:val="center"/>
        <w:rPr>
          <w:rFonts w:ascii="Times New Roman" w:eastAsiaTheme="minorHAnsi" w:hAnsi="Times New Roman"/>
          <w:b/>
          <w:szCs w:val="26"/>
          <w:lang w:eastAsia="en-US"/>
        </w:rPr>
      </w:pPr>
      <w:r w:rsidRPr="00E00BE7">
        <w:rPr>
          <w:rFonts w:ascii="Times New Roman" w:eastAsiaTheme="minorHAnsi" w:hAnsi="Times New Roman"/>
          <w:b/>
          <w:szCs w:val="26"/>
          <w:lang w:eastAsia="en-US"/>
        </w:rPr>
        <w:t>2. Цілі регулювання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lastRenderedPageBreak/>
        <w:t xml:space="preserve">Основною ціллю розробки </w:t>
      </w:r>
      <w:proofErr w:type="spellStart"/>
      <w:r w:rsidRPr="00E00BE7">
        <w:rPr>
          <w:rFonts w:ascii="Times New Roman" w:eastAsiaTheme="minorHAnsi" w:hAnsi="Times New Roman"/>
          <w:szCs w:val="26"/>
          <w:lang w:eastAsia="en-US"/>
        </w:rPr>
        <w:t>проєкту</w:t>
      </w:r>
      <w:proofErr w:type="spellEnd"/>
      <w:r w:rsidRPr="00E00BE7">
        <w:rPr>
          <w:rFonts w:ascii="Times New Roman" w:eastAsiaTheme="minorHAnsi" w:hAnsi="Times New Roman"/>
          <w:szCs w:val="26"/>
          <w:lang w:eastAsia="en-US"/>
        </w:rPr>
        <w:t xml:space="preserve"> рішення є: 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t xml:space="preserve">- запровадження умов щодо розміщення тимчасових споруд з метою провадження підприємницької діяльності; 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t xml:space="preserve">- збільшення надходжень у бюджет Обухівської  міської територіальної громади від суб’єктів підприємництва за рахунок сплати за тимчасове користування земельними ділянками під тимчасовими спорудами; 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t xml:space="preserve">- необхідність забезпечення прав і законних інтересів суб’єктів господарювання щодо прийняття загальних умов і правил розміщення та функціонування тимчасових споруд для провадження підприємницької діяльності на території населених пунктів Обухівської  міської територіальної громади; </w:t>
      </w:r>
    </w:p>
    <w:p w:rsidR="00E00BE7" w:rsidRPr="00E00BE7" w:rsidRDefault="00E00BE7" w:rsidP="00284F72">
      <w:pPr>
        <w:pStyle w:val="a3"/>
        <w:spacing w:before="0"/>
        <w:jc w:val="both"/>
        <w:rPr>
          <w:rFonts w:ascii="Times New Roman" w:eastAsiaTheme="minorHAnsi" w:hAnsi="Times New Roman"/>
          <w:b/>
          <w:szCs w:val="26"/>
          <w:lang w:eastAsia="en-US"/>
        </w:rPr>
      </w:pPr>
      <w:r w:rsidRPr="00E00BE7">
        <w:rPr>
          <w:rFonts w:ascii="Times New Roman" w:eastAsiaTheme="minorHAnsi" w:hAnsi="Times New Roman"/>
          <w:szCs w:val="26"/>
          <w:lang w:eastAsia="en-US"/>
        </w:rPr>
        <w:t>- стимулювання розвитку підприємництва; - покращення іміджу громади.</w:t>
      </w:r>
      <w:r w:rsidRPr="00E00BE7">
        <w:rPr>
          <w:rFonts w:ascii="Times New Roman" w:eastAsiaTheme="minorHAnsi" w:hAnsi="Times New Roman"/>
          <w:b/>
          <w:szCs w:val="26"/>
          <w:lang w:eastAsia="en-US"/>
        </w:rPr>
        <w:t xml:space="preserve"> </w:t>
      </w:r>
    </w:p>
    <w:p w:rsidR="00E00BE7" w:rsidRPr="00E00BE7" w:rsidRDefault="00E00BE7" w:rsidP="00E00BE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00BE7" w:rsidRPr="00963672" w:rsidRDefault="00E00BE7" w:rsidP="00963672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right="675"/>
        <w:jc w:val="center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963672"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  <w:t>Визначення альтернативних способів досягнення цілей державного  регулювання.</w:t>
      </w:r>
    </w:p>
    <w:p w:rsidR="00E00BE7" w:rsidRPr="00E00BE7" w:rsidRDefault="00E00BE7" w:rsidP="00E00BE7">
      <w:pPr>
        <w:shd w:val="clear" w:color="auto" w:fill="FFFFFF"/>
        <w:spacing w:after="0" w:line="240" w:lineRule="auto"/>
        <w:ind w:left="225" w:firstLine="708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Під час підготовки цього </w:t>
      </w:r>
      <w:proofErr w:type="spellStart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проєкту</w:t>
      </w:r>
      <w:proofErr w:type="spellEnd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рішення, розглянуто такі альтернативні способи досягнення цілей регуляторного акту:</w:t>
      </w:r>
    </w:p>
    <w:tbl>
      <w:tblPr>
        <w:tblW w:w="9406" w:type="dxa"/>
        <w:tblInd w:w="2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7"/>
        <w:gridCol w:w="7229"/>
      </w:tblGrid>
      <w:tr w:rsidR="00E00BE7" w:rsidRPr="00E00BE7" w:rsidTr="00284F72">
        <w:trPr>
          <w:trHeight w:val="645"/>
        </w:trPr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210" w:right="180" w:firstLine="681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color w:val="1D1D1B"/>
                <w:sz w:val="26"/>
                <w:szCs w:val="26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Вид альтернативи</w:t>
            </w:r>
          </w:p>
        </w:tc>
        <w:tc>
          <w:tcPr>
            <w:tcW w:w="72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2385" w:right="238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Опис альтернативи</w:t>
            </w:r>
          </w:p>
        </w:tc>
      </w:tr>
      <w:tr w:rsidR="00E00BE7" w:rsidRPr="00E00BE7" w:rsidTr="00284F72">
        <w:trPr>
          <w:trHeight w:val="2580"/>
        </w:trPr>
        <w:tc>
          <w:tcPr>
            <w:tcW w:w="21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1</w:t>
            </w:r>
            <w:r w:rsidR="005C2F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963672">
            <w:pPr>
              <w:spacing w:beforeAutospacing="1" w:after="0" w:afterAutospacing="1" w:line="240" w:lineRule="auto"/>
              <w:ind w:left="142" w:right="142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bdr w:val="none" w:sz="0" w:space="0" w:color="auto" w:frame="1"/>
                <w:lang w:eastAsia="uk-UA"/>
              </w:rPr>
              <w:t xml:space="preserve">Прийняття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bdr w:val="none" w:sz="0" w:space="0" w:color="auto" w:frame="1"/>
                <w:lang w:eastAsia="uk-UA"/>
              </w:rPr>
              <w:t>проєкту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bdr w:val="none" w:sz="0" w:space="0" w:color="auto" w:frame="1"/>
                <w:lang w:eastAsia="uk-UA"/>
              </w:rPr>
              <w:t xml:space="preserve"> акту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  <w:p w:rsidR="00E00BE7" w:rsidRPr="00E00BE7" w:rsidRDefault="00E00BE7" w:rsidP="00963672">
            <w:pPr>
              <w:spacing w:beforeAutospacing="1" w:after="0" w:afterAutospacing="1" w:line="24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Ця альтернатива є прийнятною. Дозволяє вирішити питання максимально ефективно, виходячи з економічної оцінки території </w:t>
            </w:r>
            <w:r w:rsidR="009636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Обухівської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міської ради, вдосконалити процедуру розміщення тимчасових споруд для здійснення підприємницької діяльності на території населених пунктів </w:t>
            </w:r>
            <w:r w:rsidR="009636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Обухівської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міської ради </w:t>
            </w:r>
            <w:r w:rsidR="009636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Київської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області та збільшити надходження до місцевого бюджету</w:t>
            </w:r>
          </w:p>
        </w:tc>
      </w:tr>
      <w:tr w:rsidR="00E00BE7" w:rsidRPr="00E00BE7" w:rsidTr="00284F72">
        <w:trPr>
          <w:trHeight w:val="1605"/>
        </w:trPr>
        <w:tc>
          <w:tcPr>
            <w:tcW w:w="21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2</w:t>
            </w:r>
            <w:r w:rsidR="005C2F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963672">
            <w:pPr>
              <w:spacing w:beforeAutospacing="1" w:after="0" w:afterAutospacing="1" w:line="240" w:lineRule="auto"/>
              <w:ind w:left="142" w:right="142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bdr w:val="none" w:sz="0" w:space="0" w:color="auto" w:frame="1"/>
                <w:lang w:eastAsia="uk-UA"/>
              </w:rPr>
              <w:t>Не прийняття регуляторного акту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  <w:p w:rsidR="00E00BE7" w:rsidRPr="00E00BE7" w:rsidRDefault="00E00BE7" w:rsidP="00963672">
            <w:pPr>
              <w:spacing w:beforeAutospacing="1" w:after="0" w:afterAutospacing="1" w:line="24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Ця альтернатива є неприйнятною, оскільки не дозволяє вирішити питання </w:t>
            </w:r>
            <w:r w:rsidR="00963672" w:rsidRPr="009636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розміщення тимчасових споруд для здійснення підприємницької діяльності на території населених пунктів Обухівської міської ради Київської області</w:t>
            </w:r>
          </w:p>
        </w:tc>
      </w:tr>
    </w:tbl>
    <w:p w:rsidR="00E00BE7" w:rsidRPr="00963672" w:rsidRDefault="00E00BE7" w:rsidP="00963672">
      <w:pPr>
        <w:pStyle w:val="a5"/>
        <w:numPr>
          <w:ilvl w:val="0"/>
          <w:numId w:val="16"/>
        </w:num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color w:val="1D1D1B"/>
          <w:sz w:val="26"/>
          <w:szCs w:val="26"/>
          <w:lang w:eastAsia="uk-UA"/>
        </w:rPr>
      </w:pPr>
      <w:r w:rsidRPr="00963672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Оцінка вибраних альтернативних способів досягнення цілей</w:t>
      </w:r>
    </w:p>
    <w:tbl>
      <w:tblPr>
        <w:tblW w:w="9474" w:type="dxa"/>
        <w:tblInd w:w="2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6"/>
        <w:gridCol w:w="3894"/>
        <w:gridCol w:w="2694"/>
      </w:tblGrid>
      <w:tr w:rsidR="00E00BE7" w:rsidRPr="00E00BE7" w:rsidTr="00284F72">
        <w:trPr>
          <w:trHeight w:val="645"/>
        </w:trPr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210" w:right="180" w:firstLine="681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Вид альтернативи</w:t>
            </w:r>
          </w:p>
        </w:tc>
        <w:tc>
          <w:tcPr>
            <w:tcW w:w="38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530" w:right="151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Вигоди</w:t>
            </w:r>
          </w:p>
        </w:tc>
        <w:tc>
          <w:tcPr>
            <w:tcW w:w="26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6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Витрати</w:t>
            </w:r>
          </w:p>
        </w:tc>
      </w:tr>
      <w:tr w:rsidR="00E00BE7" w:rsidRPr="00E00BE7" w:rsidTr="00284F72">
        <w:trPr>
          <w:trHeight w:val="1935"/>
        </w:trPr>
        <w:tc>
          <w:tcPr>
            <w:tcW w:w="288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83FA6" w:rsidRDefault="00E00BE7" w:rsidP="00F83FA6">
            <w:pPr>
              <w:spacing w:beforeAutospacing="1" w:after="0" w:afterAutospacing="1" w:line="240" w:lineRule="auto"/>
              <w:ind w:right="9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</w:t>
            </w:r>
            <w:r w:rsidR="00F83FA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 xml:space="preserve"> 1</w:t>
            </w:r>
            <w:r w:rsidR="005C2F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  <w:p w:rsidR="00E00BE7" w:rsidRPr="00E00BE7" w:rsidRDefault="00E00BE7" w:rsidP="00F83FA6">
            <w:pPr>
              <w:spacing w:beforeAutospacing="1" w:after="0" w:afterAutospacing="1" w:line="240" w:lineRule="auto"/>
              <w:ind w:righ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Прийняття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проєкту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акту</w:t>
            </w:r>
          </w:p>
        </w:tc>
        <w:tc>
          <w:tcPr>
            <w:tcW w:w="3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284F72">
            <w:pPr>
              <w:spacing w:beforeAutospacing="1" w:after="0" w:afterAutospacing="1" w:line="240" w:lineRule="auto"/>
              <w:ind w:left="209" w:right="141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Правове регулювання користування окремими конструктивними елементами благоустрою, як наслідок прогнозоване збільшення кількості суб’єктів підприємницької діяльності.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Можливе незначне підвищення вартості товарів та послуг для їх споживачів.</w:t>
            </w:r>
          </w:p>
        </w:tc>
      </w:tr>
      <w:tr w:rsidR="00E00BE7" w:rsidRPr="00E00BE7" w:rsidTr="00284F72">
        <w:trPr>
          <w:trHeight w:val="2250"/>
        </w:trPr>
        <w:tc>
          <w:tcPr>
            <w:tcW w:w="288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83FA6" w:rsidRDefault="00F83FA6" w:rsidP="00E00BE7">
            <w:pPr>
              <w:spacing w:beforeAutospacing="1" w:after="0" w:afterAutospacing="1" w:line="240" w:lineRule="auto"/>
              <w:ind w:right="-15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lastRenderedPageBreak/>
              <w:t>Альтернатива 2</w:t>
            </w:r>
            <w:r w:rsidR="005C2F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.</w:t>
            </w:r>
          </w:p>
          <w:p w:rsidR="00E00BE7" w:rsidRPr="00E00BE7" w:rsidRDefault="00E00BE7" w:rsidP="00E00BE7">
            <w:pPr>
              <w:spacing w:beforeAutospacing="1" w:after="0" w:afterAutospacing="1" w:line="240" w:lineRule="auto"/>
              <w:ind w:right="-1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Не прийняття регуляторного акту</w:t>
            </w:r>
          </w:p>
        </w:tc>
        <w:tc>
          <w:tcPr>
            <w:tcW w:w="3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284F72">
            <w:pPr>
              <w:spacing w:beforeAutospacing="1" w:after="0" w:afterAutospacing="1" w:line="240" w:lineRule="auto"/>
              <w:ind w:left="209" w:right="141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Відсутні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F83FA6">
            <w:pPr>
              <w:spacing w:beforeAutospacing="1" w:after="0" w:afterAutospacing="1" w:line="240" w:lineRule="auto"/>
              <w:ind w:right="-1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Недоотримання додаткових надходжень до місцевого бюджету, можливе порушення прав споживачів, щодо якості та безпеки товарів і продукції,</w:t>
            </w:r>
            <w:r w:rsidR="00F83FA6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тощо.</w:t>
            </w:r>
          </w:p>
        </w:tc>
      </w:tr>
    </w:tbl>
    <w:p w:rsidR="00E00BE7" w:rsidRPr="00E00BE7" w:rsidRDefault="00E00BE7" w:rsidP="00B26A69">
      <w:pPr>
        <w:shd w:val="clear" w:color="auto" w:fill="FFFFFF"/>
        <w:spacing w:before="225" w:after="225" w:line="240" w:lineRule="auto"/>
        <w:ind w:firstLine="567"/>
        <w:rPr>
          <w:rFonts w:ascii="Times New Roman" w:eastAsia="Times New Roman" w:hAnsi="Times New Roman" w:cs="Times New Roman"/>
          <w:b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  <w:t> </w:t>
      </w:r>
      <w:r w:rsidR="00F83FA6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 xml:space="preserve">5. </w:t>
      </w:r>
      <w:r w:rsidRPr="00E00BE7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 xml:space="preserve">Вибір найбільш оптимального </w:t>
      </w:r>
      <w:r w:rsidR="00F83FA6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а</w:t>
      </w:r>
      <w:r w:rsidRPr="00E00BE7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льтернативного способу досягнення цілей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142" w:righ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Здійснюється вибір оптимального альтернативного способу з урахуванням системи бальної оцінки ступеня досягнення визначених цілей.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Вартість балів визначається за чотирибальною системою оцінки ступеня досягнення визначених цілей, де: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4 – цілі прийняття регуляторного акту, які можуть бути досягнуті повною мірою (проблема більше існувати не буде);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3 – цілі прийняття регуляторного акту, які можуть бути досягнуті майже повною мірою (усі важливі аспекти проблеми існувати не будуть);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225" w:righ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2 – цілі прийняття регуляторного акту, які можуть бути досягнуті частково (проблема значно зменшиться, деякі важливі та критичні аспекти проблеми залишаться невирішеними);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left="225" w:righ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1 – цілі прийняття регуляторного акту, які не можуть бути досягнуті (проблема продовжує існувати).</w:t>
      </w:r>
    </w:p>
    <w:tbl>
      <w:tblPr>
        <w:tblW w:w="9406" w:type="dxa"/>
        <w:tblInd w:w="2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1"/>
        <w:gridCol w:w="2410"/>
        <w:gridCol w:w="3685"/>
      </w:tblGrid>
      <w:tr w:rsidR="00E00BE7" w:rsidRPr="00E00BE7" w:rsidTr="00284F72">
        <w:trPr>
          <w:trHeight w:val="1605"/>
        </w:trPr>
        <w:tc>
          <w:tcPr>
            <w:tcW w:w="3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-1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color w:val="1D1D1B"/>
                <w:sz w:val="26"/>
                <w:szCs w:val="26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Рейтинг результативності (досягнення цілей під час вирішення проблеми)</w:t>
            </w:r>
          </w:p>
        </w:tc>
        <w:tc>
          <w:tcPr>
            <w:tcW w:w="2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-15" w:hanging="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Бал результативності (за чотири - бальною системо</w:t>
            </w:r>
          </w:p>
          <w:p w:rsidR="00E00BE7" w:rsidRPr="00E00BE7" w:rsidRDefault="00E00BE7" w:rsidP="00E00BE7">
            <w:pPr>
              <w:spacing w:beforeAutospacing="1" w:after="0" w:afterAutospacing="1" w:line="240" w:lineRule="auto"/>
              <w:ind w:left="690" w:right="69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оцінки)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 </w:t>
            </w:r>
          </w:p>
          <w:p w:rsidR="00E00BE7" w:rsidRPr="00E00BE7" w:rsidRDefault="00E00BE7" w:rsidP="00284F72">
            <w:pPr>
              <w:spacing w:before="100" w:beforeAutospacing="1" w:after="100" w:afterAutospacing="1" w:line="240" w:lineRule="auto"/>
              <w:ind w:left="810" w:right="75" w:hanging="716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 xml:space="preserve">Коментарі щодо присвоєння відповідного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бала</w:t>
            </w:r>
            <w:proofErr w:type="spellEnd"/>
          </w:p>
        </w:tc>
      </w:tr>
      <w:tr w:rsidR="00E00BE7" w:rsidRPr="00E00BE7" w:rsidTr="00284F72">
        <w:trPr>
          <w:trHeight w:val="960"/>
        </w:trPr>
        <w:tc>
          <w:tcPr>
            <w:tcW w:w="33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1.</w:t>
            </w:r>
          </w:p>
          <w:p w:rsidR="00E00BE7" w:rsidRPr="00E00BE7" w:rsidRDefault="00E00BE7" w:rsidP="00E00BE7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Прийняття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проєкту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акту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284F72">
            <w:pPr>
              <w:spacing w:beforeAutospacing="1" w:after="0" w:afterAutospacing="1" w:line="240" w:lineRule="auto"/>
              <w:ind w:left="141" w:right="142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цілі будуть досягнуті повною мірою (проблема більше не</w:t>
            </w:r>
            <w:r w:rsidR="00284F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існуватиме)</w:t>
            </w:r>
          </w:p>
        </w:tc>
      </w:tr>
      <w:tr w:rsidR="00E00BE7" w:rsidRPr="00E00BE7" w:rsidTr="00284F72">
        <w:trPr>
          <w:trHeight w:val="1290"/>
        </w:trPr>
        <w:tc>
          <w:tcPr>
            <w:tcW w:w="33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2.</w:t>
            </w:r>
          </w:p>
          <w:p w:rsidR="00E00BE7" w:rsidRPr="00E00BE7" w:rsidRDefault="00E00BE7" w:rsidP="00E00BE7">
            <w:pPr>
              <w:spacing w:beforeAutospacing="1" w:after="0" w:afterAutospacing="1" w:line="240" w:lineRule="auto"/>
              <w:ind w:right="3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Не прийняття регуляторного акту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284F72">
            <w:pPr>
              <w:spacing w:beforeAutospacing="1" w:after="0" w:afterAutospacing="1" w:line="240" w:lineRule="auto"/>
              <w:ind w:left="141" w:right="142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цілі прийняття регуляторного акту, які не можуть бути досягнуті</w:t>
            </w:r>
            <w:r w:rsidR="00284F7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</w:t>
            </w: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(проблема продовжує існувати)</w:t>
            </w:r>
          </w:p>
        </w:tc>
      </w:tr>
    </w:tbl>
    <w:p w:rsidR="00E00BE7" w:rsidRPr="00E00BE7" w:rsidRDefault="00E00BE7" w:rsidP="00E00BE7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  <w:t> </w:t>
      </w:r>
    </w:p>
    <w:tbl>
      <w:tblPr>
        <w:tblW w:w="9083" w:type="dxa"/>
        <w:tblInd w:w="2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8"/>
        <w:gridCol w:w="1759"/>
        <w:gridCol w:w="1643"/>
        <w:gridCol w:w="2634"/>
        <w:gridCol w:w="19"/>
      </w:tblGrid>
      <w:tr w:rsidR="00E00BE7" w:rsidRPr="00E00BE7" w:rsidTr="00284F72">
        <w:trPr>
          <w:trHeight w:val="1290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45" w:right="30" w:hanging="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color w:val="1D1D1B"/>
                <w:sz w:val="26"/>
                <w:szCs w:val="26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 xml:space="preserve">Рейтинг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результативнос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 xml:space="preserve"> ті</w:t>
            </w:r>
          </w:p>
        </w:tc>
        <w:tc>
          <w:tcPr>
            <w:tcW w:w="17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284F72">
            <w:pPr>
              <w:tabs>
                <w:tab w:val="left" w:pos="708"/>
              </w:tabs>
              <w:spacing w:beforeAutospacing="1" w:after="0" w:afterAutospacing="1" w:line="240" w:lineRule="auto"/>
              <w:ind w:left="142" w:right="200" w:hanging="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Вигоди (підсумок)</w:t>
            </w:r>
          </w:p>
        </w:tc>
        <w:tc>
          <w:tcPr>
            <w:tcW w:w="16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5C2F7F">
            <w:pPr>
              <w:spacing w:beforeAutospacing="1" w:after="0" w:afterAutospacing="1" w:line="240" w:lineRule="auto"/>
              <w:ind w:left="84" w:right="181" w:firstLine="3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Витрати (підсумок)</w:t>
            </w:r>
          </w:p>
        </w:tc>
        <w:tc>
          <w:tcPr>
            <w:tcW w:w="265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35" w:right="120" w:hanging="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Обґрунтування відповідного місця альтернативи у рейтингу</w:t>
            </w:r>
          </w:p>
        </w:tc>
      </w:tr>
      <w:tr w:rsidR="00E00BE7" w:rsidRPr="00E00BE7" w:rsidTr="00284F72">
        <w:trPr>
          <w:trHeight w:val="2053"/>
        </w:trPr>
        <w:tc>
          <w:tcPr>
            <w:tcW w:w="3028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22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lastRenderedPageBreak/>
              <w:t>Альтернатива 1.</w:t>
            </w:r>
          </w:p>
          <w:p w:rsidR="00E00BE7" w:rsidRPr="00E00BE7" w:rsidRDefault="00E00BE7" w:rsidP="00E00BE7">
            <w:pPr>
              <w:spacing w:beforeAutospacing="1" w:after="0" w:afterAutospacing="1" w:line="240" w:lineRule="auto"/>
              <w:ind w:right="58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Прийняття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проєкту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акту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16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16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4</w:t>
            </w:r>
          </w:p>
        </w:tc>
        <w:tc>
          <w:tcPr>
            <w:tcW w:w="2653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right="16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Додаткове наповнення місцевого бюджету. Цілі прийняття регуляторного акту Досягнуті повною мірою.</w:t>
            </w:r>
          </w:p>
        </w:tc>
      </w:tr>
      <w:tr w:rsidR="00935480" w:rsidRPr="00E00BE7" w:rsidTr="00284F72">
        <w:trPr>
          <w:trHeight w:val="2053"/>
        </w:trPr>
        <w:tc>
          <w:tcPr>
            <w:tcW w:w="3028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right="22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2.</w:t>
            </w:r>
          </w:p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Не прийняття регуляторного акту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right="115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right="118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1</w:t>
            </w:r>
          </w:p>
        </w:tc>
        <w:tc>
          <w:tcPr>
            <w:tcW w:w="2653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right="3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Недоотримання надходжень до місцевого бюджету.</w:t>
            </w:r>
          </w:p>
        </w:tc>
      </w:tr>
      <w:tr w:rsidR="00935480" w:rsidRPr="00E00BE7" w:rsidTr="00284F72">
        <w:trPr>
          <w:gridAfter w:val="1"/>
          <w:wAfter w:w="19" w:type="dxa"/>
          <w:trHeight w:val="1830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left="52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Рейтинг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left="330" w:right="330" w:hanging="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Аргументи щодо переваги обраної альтернативи/причини відмови від альтернативи</w:t>
            </w:r>
          </w:p>
        </w:tc>
        <w:tc>
          <w:tcPr>
            <w:tcW w:w="26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left="165" w:right="165" w:firstLine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Оцінка ризику зовнішніх чинників на дію запропонованого регуляторного акту</w:t>
            </w:r>
          </w:p>
        </w:tc>
      </w:tr>
      <w:tr w:rsidR="00935480" w:rsidRPr="00E00BE7" w:rsidTr="00284F72">
        <w:trPr>
          <w:gridAfter w:val="1"/>
          <w:wAfter w:w="19" w:type="dxa"/>
          <w:trHeight w:val="3300"/>
        </w:trPr>
        <w:tc>
          <w:tcPr>
            <w:tcW w:w="302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 xml:space="preserve"> </w:t>
            </w:r>
            <w:r w:rsidRPr="00E00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1.</w:t>
            </w:r>
          </w:p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Прийняття </w:t>
            </w:r>
            <w:proofErr w:type="spellStart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проєкту</w:t>
            </w:r>
            <w:proofErr w:type="spellEnd"/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 акту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left="141" w:right="201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Альтернатива є доцільною. Прийняття рішення забезпечить наповнення місцевого бюджету. Досягнення балансу інтересів органу місцевого самоврядування та платників місцевих податків і зборів. Забезпечення населення пунктами торгівельного, побутового, соціально-культурного призначення, наближених до місця проживання.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Зміни до чинного законодавства.</w:t>
            </w:r>
          </w:p>
        </w:tc>
      </w:tr>
      <w:tr w:rsidR="00935480" w:rsidRPr="00E00BE7" w:rsidTr="00284F72">
        <w:trPr>
          <w:gridAfter w:val="1"/>
          <w:wAfter w:w="19" w:type="dxa"/>
          <w:trHeight w:val="3300"/>
        </w:trPr>
        <w:tc>
          <w:tcPr>
            <w:tcW w:w="302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5480" w:rsidRPr="00FC39FC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FC39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  <w:t>Альтернатива 2.</w:t>
            </w:r>
          </w:p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bdr w:val="none" w:sz="0" w:space="0" w:color="auto" w:frame="1"/>
                <w:lang w:eastAsia="uk-UA"/>
              </w:rPr>
            </w:pPr>
            <w:r w:rsidRPr="00FC39FC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 xml:space="preserve">Не прийняття </w:t>
            </w:r>
            <w:proofErr w:type="spellStart"/>
            <w:r w:rsidRPr="00FC39FC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регуляторногоакту</w:t>
            </w:r>
            <w:proofErr w:type="spellEnd"/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ind w:left="141" w:right="201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5480" w:rsidRPr="00E00BE7" w:rsidRDefault="00935480" w:rsidP="0093548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</w:pPr>
          </w:p>
        </w:tc>
      </w:tr>
    </w:tbl>
    <w:p w:rsidR="00E00BE7" w:rsidRPr="00E00BE7" w:rsidRDefault="00E00BE7" w:rsidP="00935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1D1D1B"/>
          <w:sz w:val="26"/>
          <w:szCs w:val="26"/>
          <w:lang w:eastAsia="uk-UA"/>
        </w:rPr>
      </w:pPr>
    </w:p>
    <w:p w:rsidR="00E00BE7" w:rsidRPr="00E00BE7" w:rsidRDefault="00E00BE7" w:rsidP="00935480">
      <w:pPr>
        <w:shd w:val="clear" w:color="auto" w:fill="FFFFFF"/>
        <w:spacing w:before="225" w:after="225" w:line="240" w:lineRule="auto"/>
        <w:ind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  <w:t> 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Таким чином для реалізації обрано Альтернативу 1 – прийняття пропонованого регуляторного акту, з метою вирішення питання </w:t>
      </w:r>
      <w:r w:rsidR="00935480" w:rsidRPr="00935480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розміщення тимчасових споруд 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та додаткового наповнення місцевого бюджету </w:t>
      </w:r>
      <w:r w:rsidR="00935480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Обухівської 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міської ради</w:t>
      </w:r>
      <w:r w:rsidR="00935480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Київської області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.</w:t>
      </w:r>
    </w:p>
    <w:p w:rsidR="00E00BE7" w:rsidRPr="00935480" w:rsidRDefault="00935480" w:rsidP="00935480">
      <w:pPr>
        <w:shd w:val="clear" w:color="auto" w:fill="FFFFFF"/>
        <w:spacing w:before="225" w:after="225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 xml:space="preserve">6. </w:t>
      </w:r>
      <w:r w:rsidR="00E00BE7" w:rsidRPr="00935480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Механізм та заходи, що пропонуються для розв’язання проблеми.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Механізмом розв’язання описаної вище проблеми є прийняття рішення </w:t>
      </w:r>
      <w:r w:rsidR="00935480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Обухівської 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міської ради </w:t>
      </w:r>
      <w:r w:rsidR="00935480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Київської 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області «</w:t>
      </w:r>
      <w:r w:rsidR="00935480" w:rsidRPr="00935480">
        <w:rPr>
          <w:rFonts w:ascii="Times New Roman" w:hAnsi="Times New Roman" w:cs="Times New Roman"/>
          <w:sz w:val="26"/>
          <w:szCs w:val="26"/>
        </w:rPr>
        <w:t>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</w:t>
      </w:r>
      <w:r w:rsidR="003969BA">
        <w:rPr>
          <w:rFonts w:ascii="Times New Roman" w:hAnsi="Times New Roman" w:cs="Times New Roman"/>
          <w:sz w:val="26"/>
          <w:szCs w:val="26"/>
        </w:rPr>
        <w:t xml:space="preserve"> Обухівського району</w:t>
      </w:r>
      <w:r w:rsidR="00935480" w:rsidRPr="00935480">
        <w:rPr>
          <w:rFonts w:ascii="Times New Roman" w:hAnsi="Times New Roman" w:cs="Times New Roman"/>
          <w:sz w:val="26"/>
          <w:szCs w:val="26"/>
        </w:rPr>
        <w:t xml:space="preserve"> Київської області».</w:t>
      </w:r>
    </w:p>
    <w:p w:rsidR="00E00BE7" w:rsidRPr="00E00BE7" w:rsidRDefault="00E00BE7" w:rsidP="00690F91">
      <w:pPr>
        <w:shd w:val="clear" w:color="auto" w:fill="FFFFFF"/>
        <w:spacing w:after="0" w:line="240" w:lineRule="auto"/>
        <w:ind w:right="-7"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bdr w:val="none" w:sz="0" w:space="0" w:color="auto" w:frame="1"/>
          <w:lang w:eastAsia="uk-UA"/>
        </w:rPr>
        <w:t>Запропоновані механізми регуляторного акту, за допомогою яких можна розв’язати проблему:</w:t>
      </w:r>
    </w:p>
    <w:p w:rsidR="00E00BE7" w:rsidRPr="00E00BE7" w:rsidRDefault="00E00BE7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Цей регуляторний акт пропонує розв’язати проблему шляхом:</w:t>
      </w:r>
    </w:p>
    <w:p w:rsidR="00E00BE7" w:rsidRPr="00E00BE7" w:rsidRDefault="00690F91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-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впорядкування розміщення, облаштування та утримання ТС;</w:t>
      </w:r>
    </w:p>
    <w:p w:rsidR="00E00BE7" w:rsidRPr="00E00BE7" w:rsidRDefault="00690F91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-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прозорість розташування ТС;</w:t>
      </w:r>
    </w:p>
    <w:p w:rsidR="00935480" w:rsidRDefault="00935480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</w:p>
    <w:p w:rsidR="00E00BE7" w:rsidRPr="00E00BE7" w:rsidRDefault="00E00BE7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Організаційні заходи, що мають здійснити виконавчі органи міської ради для впровадження регуляторного акту:</w:t>
      </w:r>
    </w:p>
    <w:p w:rsidR="00E00BE7" w:rsidRPr="00E00BE7" w:rsidRDefault="00690F91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-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оприлюднення на офіційному веб-сайті ради </w:t>
      </w:r>
      <w:proofErr w:type="spellStart"/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проєкту</w:t>
      </w:r>
      <w:proofErr w:type="spellEnd"/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рішення «</w:t>
      </w:r>
      <w:r w:rsidR="00935480" w:rsidRPr="00935480">
        <w:rPr>
          <w:rFonts w:ascii="Times New Roman" w:hAnsi="Times New Roman" w:cs="Times New Roman"/>
          <w:sz w:val="26"/>
          <w:szCs w:val="26"/>
        </w:rPr>
        <w:t>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</w:t>
      </w:r>
      <w:r>
        <w:rPr>
          <w:rFonts w:ascii="Times New Roman" w:hAnsi="Times New Roman" w:cs="Times New Roman"/>
          <w:sz w:val="26"/>
          <w:szCs w:val="26"/>
        </w:rPr>
        <w:t xml:space="preserve"> Обухівського району</w:t>
      </w:r>
      <w:r w:rsidR="00935480" w:rsidRPr="00935480">
        <w:rPr>
          <w:rFonts w:ascii="Times New Roman" w:hAnsi="Times New Roman" w:cs="Times New Roman"/>
          <w:sz w:val="26"/>
          <w:szCs w:val="26"/>
        </w:rPr>
        <w:t xml:space="preserve"> Київської області»</w:t>
      </w:r>
      <w:r w:rsidR="00935480">
        <w:rPr>
          <w:rFonts w:ascii="Times New Roman" w:hAnsi="Times New Roman" w:cs="Times New Roman"/>
          <w:sz w:val="26"/>
          <w:szCs w:val="26"/>
        </w:rPr>
        <w:t>;</w:t>
      </w:r>
    </w:p>
    <w:p w:rsidR="00935480" w:rsidRDefault="00690F91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-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опрацювання пропозицій та зауважень юридичних та фізичних осіб. </w:t>
      </w:r>
    </w:p>
    <w:p w:rsidR="00E00BE7" w:rsidRDefault="00E00BE7" w:rsidP="00690F91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Вирішення проблеми позитивно впливає на розвиток підприємництва, оскільки збільшується кількість суб’єктів господарювання за рахунок встановлення нових тимчасових споруд.</w:t>
      </w:r>
    </w:p>
    <w:p w:rsidR="00935480" w:rsidRPr="00E00BE7" w:rsidRDefault="00935480" w:rsidP="00935480">
      <w:pPr>
        <w:shd w:val="clear" w:color="auto" w:fill="FFFFFF"/>
        <w:spacing w:after="0" w:line="240" w:lineRule="auto"/>
        <w:ind w:right="67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</w:p>
    <w:p w:rsidR="00E00BE7" w:rsidRPr="00935480" w:rsidRDefault="00E00BE7" w:rsidP="00B26A69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426"/>
        <w:jc w:val="center"/>
        <w:rPr>
          <w:rFonts w:ascii="Times New Roman" w:eastAsia="Times New Roman" w:hAnsi="Times New Roman" w:cs="Times New Roman"/>
          <w:b/>
          <w:color w:val="1D1D1B"/>
          <w:sz w:val="26"/>
          <w:szCs w:val="26"/>
          <w:lang w:eastAsia="uk-UA"/>
        </w:rPr>
      </w:pPr>
      <w:r w:rsidRPr="00935480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Можливість досягнення визначених цілей у разі прийняття регуляторного акту.</w:t>
      </w:r>
    </w:p>
    <w:p w:rsidR="00FC39FC" w:rsidRDefault="00FC39FC" w:rsidP="00FC39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</w:p>
    <w:p w:rsidR="00E00BE7" w:rsidRPr="00E00BE7" w:rsidRDefault="00E00BE7" w:rsidP="00FC39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Регуляторний акт стосується інтересів органу місцевого самоврядування, громадян, суб’єктів господарювання. Негативних наслідків у зв’язку з прийняттям регуляторного акту не очікується.</w:t>
      </w:r>
    </w:p>
    <w:p w:rsidR="00E00BE7" w:rsidRPr="00E00BE7" w:rsidRDefault="003C2E6D" w:rsidP="00FC39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Обухівська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міська рада </w:t>
      </w: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Київської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області при введені в дію запропонованого </w:t>
      </w:r>
      <w:proofErr w:type="spellStart"/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проєкту</w:t>
      </w:r>
      <w:proofErr w:type="spellEnd"/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регуляторного акту не понесе додаткових витрат коштів місцевого бюджету, а також витрат на контроль за його виконанням.</w:t>
      </w:r>
    </w:p>
    <w:p w:rsidR="00E00BE7" w:rsidRDefault="00E00BE7" w:rsidP="00FC39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Можливість досягнення мети та цілей у разі прийняття рішення є цілком реальною, не потребує додаткових витрат та забезпечується у разі добросовісного виконання його вимог підприємцями. Рівень впровадження та виконання вимог акту оцінюються, як достатній та відповідає тим ресурсам, якими розпоряджаються виконавчі органи міської ради.</w:t>
      </w:r>
    </w:p>
    <w:p w:rsidR="00284F72" w:rsidRPr="00E00BE7" w:rsidRDefault="00284F72" w:rsidP="003C2E6D">
      <w:pPr>
        <w:shd w:val="clear" w:color="auto" w:fill="FFFFFF"/>
        <w:spacing w:after="0" w:line="240" w:lineRule="auto"/>
        <w:ind w:right="22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</w:p>
    <w:p w:rsidR="00E00BE7" w:rsidRPr="003C2E6D" w:rsidRDefault="00E00BE7" w:rsidP="00B26A69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1134"/>
        <w:jc w:val="center"/>
        <w:rPr>
          <w:rFonts w:ascii="Times New Roman" w:eastAsia="Times New Roman" w:hAnsi="Times New Roman" w:cs="Times New Roman"/>
          <w:b/>
          <w:color w:val="1D1D1B"/>
          <w:sz w:val="26"/>
          <w:szCs w:val="26"/>
          <w:lang w:eastAsia="uk-UA"/>
        </w:rPr>
      </w:pPr>
      <w:r w:rsidRPr="003C2E6D">
        <w:rPr>
          <w:rFonts w:ascii="Times New Roman" w:eastAsia="Times New Roman" w:hAnsi="Times New Roman" w:cs="Times New Roman"/>
          <w:b/>
          <w:color w:val="1D1D1B"/>
          <w:sz w:val="26"/>
          <w:szCs w:val="26"/>
          <w:bdr w:val="none" w:sz="0" w:space="0" w:color="auto" w:frame="1"/>
          <w:lang w:eastAsia="uk-UA"/>
        </w:rPr>
        <w:t>Очікувані результати прийняття регуляторного акту.</w:t>
      </w:r>
    </w:p>
    <w:p w:rsidR="00FC39FC" w:rsidRDefault="00FC39FC" w:rsidP="00FC39FC">
      <w:pPr>
        <w:shd w:val="clear" w:color="auto" w:fill="FFFFFF"/>
        <w:spacing w:after="0" w:line="240" w:lineRule="auto"/>
        <w:ind w:right="-7" w:firstLine="933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Нижче наведена таблиця з очікуваними результатами прийняття рішення </w:t>
      </w:r>
      <w:r w:rsidR="003C2E6D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Обухівської </w:t>
      </w:r>
      <w:r w:rsidR="003C2E6D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міської ради </w:t>
      </w:r>
      <w:r w:rsidR="003C2E6D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Київської </w:t>
      </w:r>
      <w:r w:rsidR="003C2E6D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області «</w:t>
      </w:r>
      <w:r w:rsidR="003C2E6D" w:rsidRPr="00935480">
        <w:rPr>
          <w:rFonts w:ascii="Times New Roman" w:hAnsi="Times New Roman" w:cs="Times New Roman"/>
          <w:sz w:val="26"/>
          <w:szCs w:val="26"/>
        </w:rPr>
        <w:t xml:space="preserve">Про затвердження Порядку розміщення тимчасових споруд для провадження підприємницької діяльності на території </w:t>
      </w:r>
      <w:r w:rsidR="003C2E6D" w:rsidRPr="00935480">
        <w:rPr>
          <w:rFonts w:ascii="Times New Roman" w:hAnsi="Times New Roman" w:cs="Times New Roman"/>
          <w:sz w:val="26"/>
          <w:szCs w:val="26"/>
        </w:rPr>
        <w:lastRenderedPageBreak/>
        <w:t>Обухівської міської територіальної громади</w:t>
      </w:r>
      <w:r w:rsidR="00FC39FC">
        <w:rPr>
          <w:rFonts w:ascii="Times New Roman" w:hAnsi="Times New Roman" w:cs="Times New Roman"/>
          <w:sz w:val="26"/>
          <w:szCs w:val="26"/>
        </w:rPr>
        <w:t xml:space="preserve"> Обухівського району</w:t>
      </w:r>
      <w:r w:rsidR="003C2E6D" w:rsidRPr="00935480">
        <w:rPr>
          <w:rFonts w:ascii="Times New Roman" w:hAnsi="Times New Roman" w:cs="Times New Roman"/>
          <w:sz w:val="26"/>
          <w:szCs w:val="26"/>
        </w:rPr>
        <w:t xml:space="preserve"> Київської області»</w:t>
      </w:r>
      <w:r w:rsidR="003C2E6D">
        <w:rPr>
          <w:rFonts w:ascii="Times New Roman" w:hAnsi="Times New Roman" w:cs="Times New Roman"/>
          <w:sz w:val="26"/>
          <w:szCs w:val="26"/>
        </w:rPr>
        <w:t>:</w:t>
      </w:r>
    </w:p>
    <w:tbl>
      <w:tblPr>
        <w:tblW w:w="9659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4678"/>
        <w:gridCol w:w="2841"/>
      </w:tblGrid>
      <w:tr w:rsidR="00E00BE7" w:rsidRPr="00E00BE7" w:rsidTr="003C2E6D">
        <w:trPr>
          <w:trHeight w:val="315"/>
        </w:trPr>
        <w:tc>
          <w:tcPr>
            <w:tcW w:w="2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color w:val="1D1D1B"/>
                <w:sz w:val="26"/>
                <w:szCs w:val="26"/>
                <w:lang w:eastAsia="uk-UA"/>
              </w:rPr>
              <w:t> </w:t>
            </w:r>
            <w:r w:rsidRPr="00E00BE7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  <w:lang w:eastAsia="uk-UA"/>
              </w:rPr>
              <w:t>Сфера впливу</w:t>
            </w:r>
          </w:p>
        </w:tc>
        <w:tc>
          <w:tcPr>
            <w:tcW w:w="46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  <w:lang w:eastAsia="uk-UA"/>
              </w:rPr>
              <w:t>Вигоди</w:t>
            </w:r>
          </w:p>
        </w:tc>
        <w:tc>
          <w:tcPr>
            <w:tcW w:w="284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  <w:lang w:eastAsia="uk-UA"/>
              </w:rPr>
              <w:t>Витрати</w:t>
            </w:r>
          </w:p>
        </w:tc>
      </w:tr>
      <w:tr w:rsidR="00E00BE7" w:rsidRPr="00E00BE7" w:rsidTr="003C2E6D">
        <w:trPr>
          <w:trHeight w:val="2250"/>
        </w:trPr>
        <w:tc>
          <w:tcPr>
            <w:tcW w:w="21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Місцева влада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Забезпечення прозорості процедури розташування ТС для здійснення підприємницької діяльності.</w:t>
            </w:r>
          </w:p>
          <w:p w:rsidR="00E00BE7" w:rsidRPr="00E00BE7" w:rsidRDefault="00E00BE7" w:rsidP="00E00BE7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Підвищення іміджу місцевої влади.</w:t>
            </w:r>
          </w:p>
          <w:p w:rsidR="00E00BE7" w:rsidRPr="00E00BE7" w:rsidRDefault="00E00BE7" w:rsidP="00E00BE7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ind w:left="450" w:right="45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Дохід до місцевого бюджету.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00BE7" w:rsidRPr="00E00BE7" w:rsidRDefault="00E00BE7" w:rsidP="00E00BE7">
            <w:pPr>
              <w:spacing w:beforeAutospacing="1" w:after="0" w:afterAutospacing="1" w:line="240" w:lineRule="auto"/>
              <w:ind w:left="105" w:righ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Витрати, пов’язані з впровадженням та контролем за дотриманням вимог регуляторного акту.</w:t>
            </w:r>
          </w:p>
        </w:tc>
      </w:tr>
      <w:tr w:rsidR="003C2E6D" w:rsidRPr="00E00BE7" w:rsidTr="003C2E6D">
        <w:trPr>
          <w:trHeight w:val="2250"/>
        </w:trPr>
        <w:tc>
          <w:tcPr>
            <w:tcW w:w="21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spacing w:beforeAutospacing="1" w:after="0" w:afterAutospacing="1" w:line="240" w:lineRule="auto"/>
              <w:ind w:left="105" w:right="75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Суб’єкти підприємницької діяльності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Спрощення процедур отримання паспортів прив’язок на тимчасові споруди для провадження підприємницької діяльності.</w:t>
            </w:r>
          </w:p>
          <w:p w:rsidR="003C2E6D" w:rsidRPr="00E00BE7" w:rsidRDefault="003C2E6D" w:rsidP="003C2E6D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Реалізація з боку суб’єктів господарювання прав щодо розміщення тимчасових споруд для провадження підприємницької діяльності.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spacing w:beforeAutospacing="1" w:after="0" w:afterAutospacing="1" w:line="240" w:lineRule="auto"/>
              <w:ind w:left="105" w:righ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Витрати, пов’язані з його впровадженням відсутні.</w:t>
            </w:r>
          </w:p>
        </w:tc>
      </w:tr>
      <w:tr w:rsidR="003C2E6D" w:rsidRPr="00E00BE7" w:rsidTr="003C2E6D">
        <w:trPr>
          <w:trHeight w:val="2250"/>
        </w:trPr>
        <w:tc>
          <w:tcPr>
            <w:tcW w:w="21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spacing w:beforeAutospacing="1" w:after="0" w:afterAutospacing="1" w:line="240" w:lineRule="auto"/>
              <w:ind w:left="105" w:right="3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Територіальна громада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Покращення умов обслуговування мешканців міста.</w:t>
            </w:r>
          </w:p>
          <w:p w:rsidR="003C2E6D" w:rsidRPr="00E00BE7" w:rsidRDefault="003C2E6D" w:rsidP="003C2E6D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ind w:left="450" w:right="45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Одержання якісних послуг.</w:t>
            </w:r>
          </w:p>
          <w:p w:rsidR="003C2E6D" w:rsidRPr="00E00BE7" w:rsidRDefault="003C2E6D" w:rsidP="003C2E6D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ind w:left="450" w:right="54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Покращення благоустрою та збереження архітектурного вигляду міста.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C2E6D" w:rsidRPr="00E00BE7" w:rsidRDefault="003C2E6D" w:rsidP="003C2E6D">
            <w:pPr>
              <w:spacing w:beforeAutospacing="1" w:after="0" w:afterAutospacing="1" w:line="240" w:lineRule="auto"/>
              <w:ind w:left="105" w:right="90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E00BE7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uk-UA"/>
              </w:rPr>
              <w:t>Витрати, пов’язані з його впровадженням відсутні.</w:t>
            </w:r>
          </w:p>
        </w:tc>
      </w:tr>
    </w:tbl>
    <w:p w:rsidR="00E00BE7" w:rsidRPr="00E00BE7" w:rsidRDefault="003C2E6D" w:rsidP="008409B3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  <w:t>9</w:t>
      </w:r>
      <w:r w:rsidR="00E00BE7" w:rsidRPr="00E00BE7"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  <w:t>. Строк дії регуляторного акту.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Запропонований </w:t>
      </w:r>
      <w:proofErr w:type="spellStart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проєкт</w:t>
      </w:r>
      <w:proofErr w:type="spellEnd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регуляторного акту запроваджується довгостроково, до внесення змін або до прийняття нових нормативно-правових актів.</w:t>
      </w:r>
    </w:p>
    <w:p w:rsid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У разі потреби, до нього вноситимуться зміни за підсумками аналізу відстеження його результативності.</w:t>
      </w:r>
    </w:p>
    <w:p w:rsidR="003C2E6D" w:rsidRPr="00E00BE7" w:rsidRDefault="003C2E6D" w:rsidP="00B26A69">
      <w:pPr>
        <w:shd w:val="clear" w:color="auto" w:fill="FFFFFF"/>
        <w:spacing w:after="0" w:line="240" w:lineRule="auto"/>
        <w:ind w:right="-7" w:firstLine="567"/>
        <w:jc w:val="center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</w:p>
    <w:p w:rsidR="00E00BE7" w:rsidRPr="00E00BE7" w:rsidRDefault="003C2E6D" w:rsidP="003C2E6D">
      <w:pPr>
        <w:shd w:val="clear" w:color="auto" w:fill="FFFFFF"/>
        <w:spacing w:after="0" w:line="240" w:lineRule="auto"/>
        <w:ind w:left="69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bdr w:val="none" w:sz="0" w:space="0" w:color="auto" w:frame="1"/>
          <w:lang w:eastAsia="uk-UA"/>
        </w:rPr>
        <w:t>10</w:t>
      </w:r>
      <w:r w:rsidR="00E00BE7" w:rsidRPr="00E00BE7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bdr w:val="none" w:sz="0" w:space="0" w:color="auto" w:frame="1"/>
          <w:lang w:eastAsia="uk-UA"/>
        </w:rPr>
        <w:t>. Визначення показників результативності дії регуляторного акту</w:t>
      </w:r>
    </w:p>
    <w:p w:rsidR="00B26A69" w:rsidRDefault="00B26A69" w:rsidP="008409B3">
      <w:pPr>
        <w:shd w:val="clear" w:color="auto" w:fill="FFFFFF"/>
        <w:spacing w:after="0" w:line="240" w:lineRule="auto"/>
        <w:ind w:right="225" w:firstLine="566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6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Ефективність регуляторного впливу </w:t>
      </w:r>
      <w:proofErr w:type="spellStart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проєкту</w:t>
      </w:r>
      <w:proofErr w:type="spellEnd"/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рішення</w:t>
      </w:r>
      <w:r w:rsidR="003C2E6D" w:rsidRPr="003C2E6D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</w:t>
      </w:r>
      <w:r w:rsidR="003C2E6D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Обухівської </w:t>
      </w:r>
      <w:r w:rsidR="003C2E6D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міської ради </w:t>
      </w:r>
      <w:r w:rsidR="003C2E6D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Київської </w:t>
      </w:r>
      <w:r w:rsidR="003C2E6D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області «</w:t>
      </w:r>
      <w:r w:rsidR="003C2E6D" w:rsidRPr="00935480">
        <w:rPr>
          <w:rFonts w:ascii="Times New Roman" w:hAnsi="Times New Roman" w:cs="Times New Roman"/>
          <w:sz w:val="26"/>
          <w:szCs w:val="26"/>
        </w:rPr>
        <w:t>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</w:t>
      </w:r>
      <w:r w:rsidR="00B26A69">
        <w:rPr>
          <w:rFonts w:ascii="Times New Roman" w:hAnsi="Times New Roman" w:cs="Times New Roman"/>
          <w:sz w:val="26"/>
          <w:szCs w:val="26"/>
        </w:rPr>
        <w:t xml:space="preserve"> Обухівського району</w:t>
      </w:r>
      <w:r w:rsidR="003C2E6D" w:rsidRPr="00935480">
        <w:rPr>
          <w:rFonts w:ascii="Times New Roman" w:hAnsi="Times New Roman" w:cs="Times New Roman"/>
          <w:sz w:val="26"/>
          <w:szCs w:val="26"/>
        </w:rPr>
        <w:t xml:space="preserve"> Київської області»</w:t>
      </w:r>
      <w:r w:rsidR="003C2E6D">
        <w:rPr>
          <w:rFonts w:ascii="Times New Roman" w:hAnsi="Times New Roman" w:cs="Times New Roman"/>
          <w:sz w:val="26"/>
          <w:szCs w:val="26"/>
        </w:rPr>
        <w:t xml:space="preserve"> 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визначатиметься за такими показниками:</w:t>
      </w:r>
    </w:p>
    <w:p w:rsidR="00E00BE7" w:rsidRPr="00E00BE7" w:rsidRDefault="00B26A69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-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кількість поданих суб'єктами господарювання заяв про наміри розміщення тимчасових споруд для провадження підприємницької діяльності;</w:t>
      </w:r>
    </w:p>
    <w:p w:rsidR="00E00BE7" w:rsidRPr="00E00BE7" w:rsidRDefault="00B26A69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-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розмір надходження коштів у місцевий бюджет;</w:t>
      </w:r>
    </w:p>
    <w:p w:rsidR="00E00BE7" w:rsidRPr="00E00BE7" w:rsidRDefault="00B26A69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-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кількість укладених та продовжених договорів;</w:t>
      </w:r>
    </w:p>
    <w:p w:rsidR="00E00BE7" w:rsidRDefault="00B26A69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</w:pPr>
      <w:r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lastRenderedPageBreak/>
        <w:t xml:space="preserve">- </w:t>
      </w:r>
      <w:r w:rsidR="00E00BE7"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загальна кількість суб'єктів господарювання, якими отримані паспорти прив’язки тимчасових споруд для провадження підприємницької діяльності.</w:t>
      </w:r>
    </w:p>
    <w:p w:rsidR="003C2E6D" w:rsidRPr="00E00BE7" w:rsidRDefault="003C2E6D" w:rsidP="003C2E6D">
      <w:pPr>
        <w:shd w:val="clear" w:color="auto" w:fill="FFFFFF"/>
        <w:spacing w:after="0" w:line="240" w:lineRule="auto"/>
        <w:ind w:right="675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</w:p>
    <w:p w:rsidR="008409B3" w:rsidRDefault="008409B3" w:rsidP="003C2E6D">
      <w:pPr>
        <w:shd w:val="clear" w:color="auto" w:fill="FFFFFF"/>
        <w:spacing w:after="0" w:line="240" w:lineRule="auto"/>
        <w:ind w:left="780" w:right="225"/>
        <w:jc w:val="both"/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</w:pPr>
    </w:p>
    <w:p w:rsidR="00E00BE7" w:rsidRPr="00E00BE7" w:rsidRDefault="003C2E6D" w:rsidP="003C2E6D">
      <w:pPr>
        <w:shd w:val="clear" w:color="auto" w:fill="FFFFFF"/>
        <w:spacing w:after="0" w:line="240" w:lineRule="auto"/>
        <w:ind w:left="780" w:right="225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  <w:t>11</w:t>
      </w:r>
      <w:r w:rsidR="00E00BE7" w:rsidRPr="00E00BE7">
        <w:rPr>
          <w:rFonts w:ascii="Times New Roman" w:eastAsia="Times New Roman" w:hAnsi="Times New Roman" w:cs="Times New Roman"/>
          <w:b/>
          <w:bCs/>
          <w:color w:val="1D1D1B"/>
          <w:sz w:val="26"/>
          <w:szCs w:val="26"/>
          <w:bdr w:val="none" w:sz="0" w:space="0" w:color="auto" w:frame="1"/>
          <w:lang w:eastAsia="uk-UA"/>
        </w:rPr>
        <w:t>. Заходи за допомогою яких буде здійснюватися відстеження результативності регуляторного акту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  <w:t> </w:t>
      </w: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Відстеження результативності регуляторного акту буде здійснюватися відповідно до ст. 10 Закону України «Про засади державної регуляторної політики у сфері господарської діяльності», шляхом застосування базового, повторного та періодичного відстеження.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Базове відстеження результативності регуляторного акту буде проведене через один рік після набрання чинності цим регуляторним актом.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Повторне відстеження результативності регуляторного акту буде здійснено через рік після базового відстеження, але не пізніше двох років з дня набрання чинності цим актом.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Періодичне відстеження результативності – кожні три роки, починаючи після прийняття регуляторного акту, починаючи з дня закінчення заходів з повторного відстеження результативності цього акту.</w:t>
      </w:r>
    </w:p>
    <w:p w:rsidR="00E00BE7" w:rsidRPr="00E00BE7" w:rsidRDefault="00E00BE7" w:rsidP="00B26A69">
      <w:pPr>
        <w:shd w:val="clear" w:color="auto" w:fill="FFFFFF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color w:val="1D1D1B"/>
          <w:sz w:val="26"/>
          <w:szCs w:val="26"/>
          <w:lang w:eastAsia="uk-UA"/>
        </w:rPr>
      </w:pPr>
      <w:r w:rsidRPr="00E00BE7">
        <w:rPr>
          <w:rFonts w:ascii="Times New Roman" w:eastAsia="Times New Roman" w:hAnsi="Times New Roman" w:cs="Times New Roman"/>
          <w:color w:val="1D1D1B"/>
          <w:sz w:val="26"/>
          <w:szCs w:val="26"/>
          <w:bdr w:val="none" w:sz="0" w:space="0" w:color="auto" w:frame="1"/>
          <w:lang w:eastAsia="uk-UA"/>
        </w:rPr>
        <w:t>Відповідні відстеження будуть проводитись шляхом аналізу статистичних даних.</w:t>
      </w:r>
    </w:p>
    <w:p w:rsidR="00E00BE7" w:rsidRPr="00E00BE7" w:rsidRDefault="00E00BE7" w:rsidP="00E00BE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13AB7" w:rsidRDefault="00613AB7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E878F1" w:rsidRDefault="00E878F1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E878F1" w:rsidRDefault="00E878F1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E878F1" w:rsidRDefault="00E878F1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3B2CEE" w:rsidRDefault="003B2CEE" w:rsidP="003B2CEE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Додаток до регуляторного акту</w:t>
      </w:r>
    </w:p>
    <w:p w:rsidR="00DB5556" w:rsidRPr="00DB5556" w:rsidRDefault="00DB5556" w:rsidP="00DB555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ТЕСТ</w:t>
      </w:r>
    </w:p>
    <w:p w:rsidR="00DB5556" w:rsidRPr="00DB5556" w:rsidRDefault="00DB5556" w:rsidP="00DB555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малого підприємництва (М-Тест)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Ідентифікація суб'єктів малого підприємництва (СМП), на яких поширюється дія регуляторного акту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•</w:t>
      </w:r>
      <w:r w:rsidRPr="00DB5556">
        <w:rPr>
          <w:rFonts w:ascii="Times New Roman" w:hAnsi="Times New Roman"/>
          <w:sz w:val="28"/>
          <w:szCs w:val="28"/>
        </w:rPr>
        <w:tab/>
        <w:t xml:space="preserve">Загальна кількість </w:t>
      </w:r>
      <w:r>
        <w:rPr>
          <w:rFonts w:ascii="Times New Roman" w:hAnsi="Times New Roman"/>
          <w:sz w:val="28"/>
          <w:szCs w:val="28"/>
        </w:rPr>
        <w:t>власників ТС</w:t>
      </w:r>
      <w:r w:rsidRPr="00DB5556">
        <w:rPr>
          <w:rFonts w:ascii="Times New Roman" w:hAnsi="Times New Roman"/>
          <w:sz w:val="28"/>
          <w:szCs w:val="28"/>
        </w:rPr>
        <w:t xml:space="preserve">: близько </w:t>
      </w:r>
      <w:r>
        <w:rPr>
          <w:rFonts w:ascii="Times New Roman" w:hAnsi="Times New Roman"/>
          <w:sz w:val="28"/>
          <w:szCs w:val="28"/>
        </w:rPr>
        <w:t>25</w:t>
      </w:r>
      <w:r w:rsidRPr="00DB5556">
        <w:rPr>
          <w:rFonts w:ascii="Times New Roman" w:hAnsi="Times New Roman"/>
          <w:sz w:val="28"/>
          <w:szCs w:val="28"/>
        </w:rPr>
        <w:t>0.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Кількість </w:t>
      </w:r>
      <w:r>
        <w:rPr>
          <w:rFonts w:ascii="Times New Roman" w:hAnsi="Times New Roman"/>
          <w:sz w:val="28"/>
          <w:szCs w:val="28"/>
        </w:rPr>
        <w:t>можливих власників ТС</w:t>
      </w:r>
      <w:r w:rsidRPr="00DB5556">
        <w:rPr>
          <w:rFonts w:ascii="Times New Roman" w:hAnsi="Times New Roman"/>
          <w:sz w:val="28"/>
          <w:szCs w:val="28"/>
        </w:rPr>
        <w:t>: 2</w:t>
      </w:r>
      <w:r>
        <w:rPr>
          <w:rFonts w:ascii="Times New Roman" w:hAnsi="Times New Roman"/>
          <w:sz w:val="28"/>
          <w:szCs w:val="28"/>
        </w:rPr>
        <w:t>00</w:t>
      </w:r>
      <w:r w:rsidRPr="00DB5556">
        <w:rPr>
          <w:rFonts w:ascii="Times New Roman" w:hAnsi="Times New Roman"/>
          <w:sz w:val="28"/>
          <w:szCs w:val="28"/>
        </w:rPr>
        <w:t>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З урахуванням уточнення, що 2</w:t>
      </w:r>
      <w:r>
        <w:rPr>
          <w:rFonts w:ascii="Times New Roman" w:hAnsi="Times New Roman"/>
          <w:sz w:val="28"/>
          <w:szCs w:val="28"/>
        </w:rPr>
        <w:t>20</w:t>
      </w:r>
      <w:r w:rsidRPr="00DB5556">
        <w:rPr>
          <w:rFonts w:ascii="Times New Roman" w:hAnsi="Times New Roman"/>
          <w:sz w:val="28"/>
          <w:szCs w:val="28"/>
        </w:rPr>
        <w:t xml:space="preserve"> фізичних осіб є переважно громадянами, а не ФОП, ми враховуємо лише юридичних осіб як потенційних суб'єктів господарювання, на яких поширюється дія М-Тесту.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Оцінка кількості СМП, на яких поширюватиметься дія акту: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Кількість юридичних осіб, що є </w:t>
      </w:r>
      <w:r>
        <w:rPr>
          <w:rFonts w:ascii="Times New Roman" w:hAnsi="Times New Roman"/>
          <w:sz w:val="28"/>
          <w:szCs w:val="28"/>
        </w:rPr>
        <w:t>власниками ТС</w:t>
      </w:r>
      <w:r w:rsidRPr="00DB5556">
        <w:rPr>
          <w:rFonts w:ascii="Times New Roman" w:hAnsi="Times New Roman"/>
          <w:sz w:val="28"/>
          <w:szCs w:val="28"/>
        </w:rPr>
        <w:t>: 54.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Припущення: Без додаткових даних про розподіл за розміром бізнесу, припустимо, що значна частина з цих 54 юридичних осіб є суб'єктами малого підприємництва або мають ознаки, що дозволяють включити їх до аналізу за М-Тестом (враховуючи, що їх витрати аналогічні до СМП).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Для проведення тестування будемо розглядати 54 юридичні особи як потенційних СМП.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Середній розмір СМП: Інформація відсутня, але для цілей тестування можна вважати, що вони мають обмежені адміністративні ресурси та потребують мінімального часу для виконання нових вимог.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3. Визначення та оцінка витрат СМП внаслідок дії регуляторного акту.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3.1. Прямі фінансові витрати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Плата за земельний сервітут</w:t>
      </w:r>
      <w:r w:rsidRPr="00DB5556">
        <w:rPr>
          <w:rFonts w:ascii="Times New Roman" w:hAnsi="Times New Roman"/>
          <w:sz w:val="28"/>
          <w:szCs w:val="28"/>
        </w:rPr>
        <w:t xml:space="preserve">: Це основна фінансова витрата для СМП. </w:t>
      </w:r>
    </w:p>
    <w:p w:rsid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 xml:space="preserve">Орієнтовний розрахунок: в аналізі вказано, що поточна загальна сума надходжень від </w:t>
      </w:r>
      <w:r>
        <w:rPr>
          <w:rFonts w:ascii="Times New Roman" w:hAnsi="Times New Roman"/>
          <w:sz w:val="28"/>
          <w:szCs w:val="28"/>
        </w:rPr>
        <w:t xml:space="preserve">сплати за сервітут </w:t>
      </w:r>
      <w:r w:rsidRPr="00DB5556">
        <w:rPr>
          <w:rFonts w:ascii="Times New Roman" w:hAnsi="Times New Roman"/>
          <w:sz w:val="28"/>
          <w:szCs w:val="28"/>
        </w:rPr>
        <w:t xml:space="preserve">становить </w:t>
      </w:r>
      <w:r>
        <w:rPr>
          <w:rFonts w:ascii="Times New Roman" w:hAnsi="Times New Roman"/>
          <w:sz w:val="28"/>
          <w:szCs w:val="28"/>
        </w:rPr>
        <w:t>500 325,32</w:t>
      </w:r>
      <w:r w:rsidRPr="00DB5556">
        <w:rPr>
          <w:rFonts w:ascii="Times New Roman" w:hAnsi="Times New Roman"/>
          <w:sz w:val="28"/>
          <w:szCs w:val="28"/>
        </w:rPr>
        <w:t xml:space="preserve"> грн. </w:t>
      </w:r>
      <w:proofErr w:type="spellStart"/>
      <w:r w:rsidRPr="00DB5556">
        <w:rPr>
          <w:rFonts w:ascii="Times New Roman" w:hAnsi="Times New Roman"/>
          <w:sz w:val="28"/>
          <w:szCs w:val="28"/>
        </w:rPr>
        <w:t>Проєкт</w:t>
      </w:r>
      <w:proofErr w:type="spellEnd"/>
      <w:r w:rsidRPr="00DB5556">
        <w:rPr>
          <w:rFonts w:ascii="Times New Roman" w:hAnsi="Times New Roman"/>
          <w:sz w:val="28"/>
          <w:szCs w:val="28"/>
        </w:rPr>
        <w:t xml:space="preserve"> рішення спрямований на </w:t>
      </w:r>
      <w:r w:rsidR="0001672C">
        <w:rPr>
          <w:rFonts w:ascii="Times New Roman" w:hAnsi="Times New Roman"/>
          <w:sz w:val="28"/>
          <w:szCs w:val="28"/>
        </w:rPr>
        <w:t>надходження до бюджету даної суми.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 xml:space="preserve">Витрати на залучення зовнішніх консультантів (бухгалтерські, юридичні): 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Вартість: 500−1500 грн за юридичну консультацію, 200−500 грн за бухгалтерські послуги з перерахунку.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Частота: Одноразово, або за необхідності періодичного перегляду договорів.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Припущення: Не всі СМП потребуватимуть зовнішніх консультацій (деякі мають штатних бухгалтерів або власники розбираються самостійно). Припустимо, що близько 30% СМП звернуться за зовнішньою допомогою. 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Кількість СМП, що потребують консультацій: 254×0.3=76.2≈76 СМП.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lastRenderedPageBreak/>
        <w:t>Середні витрати на консультації: 1000+350=1350 грн на СМП.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Сумарні витрати на консультації: 76×1350=102600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3.2. Адміністративні витрати (витрати часу)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Час на ознайомлення з новими нормами: Керівник/відповідальна особа СМП (2-4 години). 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Середня вартість години праці керівника/відповідальної особи СМП: Припустимо, 200 грн/год.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Час: Середнє 3 години.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Витрати часу на ознайомлення на 1 СМП: 3 год×200 грн/год=600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Сумарні витрати часу на ознайомлення для всіх СМП: 254×600 грн=152400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Час на перерахунок орендної плати (бухгалтер): (1-2 години). 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Середня вартість години праці бухгалтера: 150 грн/год.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Час: Середнє 1.5 години.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Витрати часу на перерахунок на 1 СМП: 1.5 год×150 грн/год=225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Сумарні витрати часу на перерахунок для всіх СМП: 254×225 грн=57150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Час на взаємодію з органами місцевого самоврядування: (0.5-1 година) – для отримання роз'яснень або подання документів. 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Середня вартість години праці: 200 грн/год.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Час: 0.75 години.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Витрати часу на взаємодію на 1 СМП: 0.75 год×200 грн/год=150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Сумарні витрати часу на взаємодію для всіх СМП: 254×150 грн=38100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3.3. Інші можливі витрати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Адаптація бізнес-планів: Ці витрати є опосередкованими і важко піддаються кількісній оцінці. Для більшості СМП, які не мають складних довгострокових інвестиційних </w:t>
      </w:r>
      <w:proofErr w:type="spellStart"/>
      <w:r w:rsidRPr="00DB5556">
        <w:rPr>
          <w:rFonts w:ascii="Times New Roman" w:hAnsi="Times New Roman"/>
          <w:sz w:val="28"/>
          <w:szCs w:val="28"/>
        </w:rPr>
        <w:t>проєктів</w:t>
      </w:r>
      <w:proofErr w:type="spellEnd"/>
      <w:r w:rsidRPr="00DB5556">
        <w:rPr>
          <w:rFonts w:ascii="Times New Roman" w:hAnsi="Times New Roman"/>
          <w:sz w:val="28"/>
          <w:szCs w:val="28"/>
        </w:rPr>
        <w:t>, вони будуть мінімальними або відсутніми.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4. Розрахунок сумарних витрат для СМП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 xml:space="preserve">Без точних даних про те, яка частина із загального збільшення надходжень припадатиме на СМП, ми не можемо точно розрахувати </w:t>
      </w:r>
      <w:r w:rsidR="0001672C">
        <w:rPr>
          <w:rFonts w:ascii="Times New Roman" w:hAnsi="Times New Roman"/>
          <w:sz w:val="28"/>
          <w:szCs w:val="28"/>
        </w:rPr>
        <w:t xml:space="preserve">розмір плати за сервітут </w:t>
      </w:r>
      <w:r w:rsidRPr="00DB5556">
        <w:rPr>
          <w:rFonts w:ascii="Times New Roman" w:hAnsi="Times New Roman"/>
          <w:sz w:val="28"/>
          <w:szCs w:val="28"/>
        </w:rPr>
        <w:t>для всіх СМП. Однак, можемо оцінити сумарні одноразові та адміністративні витрати.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Орієнтовні сумарні витрати СМП (без урахування збільшення орендної плати):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lastRenderedPageBreak/>
        <w:t>•</w:t>
      </w:r>
      <w:r w:rsidRPr="00DB5556">
        <w:rPr>
          <w:rFonts w:ascii="Times New Roman" w:hAnsi="Times New Roman"/>
          <w:sz w:val="28"/>
          <w:szCs w:val="28"/>
        </w:rPr>
        <w:tab/>
        <w:t>Сумарні витрати на зовнішні консультації: 102600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•</w:t>
      </w:r>
      <w:r w:rsidRPr="00DB5556">
        <w:rPr>
          <w:rFonts w:ascii="Times New Roman" w:hAnsi="Times New Roman"/>
          <w:sz w:val="28"/>
          <w:szCs w:val="28"/>
        </w:rPr>
        <w:tab/>
        <w:t>Сумарні витрати часу (ознайомлення): 152400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•</w:t>
      </w:r>
      <w:r w:rsidRPr="00DB5556">
        <w:rPr>
          <w:rFonts w:ascii="Times New Roman" w:hAnsi="Times New Roman"/>
          <w:sz w:val="28"/>
          <w:szCs w:val="28"/>
        </w:rPr>
        <w:tab/>
        <w:t>Сумарні витрати часу (перерахунок): 57150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•</w:t>
      </w:r>
      <w:r w:rsidRPr="00DB5556">
        <w:rPr>
          <w:rFonts w:ascii="Times New Roman" w:hAnsi="Times New Roman"/>
          <w:sz w:val="28"/>
          <w:szCs w:val="28"/>
        </w:rPr>
        <w:tab/>
        <w:t>Сумарні витрати часу (взаємодія): 38100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Загальні одноразові/адміністративні витрати для всіх СМП: 102600+152400+57150+38100=350250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Середні одноразові/адміністративні витрати на одного СМП: 350250 грн/254 СМП≈1378.94 грн.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Важливо: основні витрати для СМП будуть пов'язані не з адміністративними процедурами, а безпосередньо зі збільшенням розміру орендної плати, яке є основною метою регулювання та джерелом надходжень до місцевого бюджету. Це збільшення буде щорічним.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5. Обґрунтування відповідності принципам державної регуляторної політики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Регуляторний акт відповідає принципам державної регуляторної політики, оскільки: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Доцільність: вирішує проблему</w:t>
      </w:r>
      <w:r w:rsidR="0001672C">
        <w:rPr>
          <w:rFonts w:ascii="Times New Roman" w:hAnsi="Times New Roman"/>
          <w:sz w:val="28"/>
          <w:szCs w:val="28"/>
        </w:rPr>
        <w:t xml:space="preserve"> розміщення ТС та збільшує </w:t>
      </w:r>
      <w:r w:rsidRPr="00DB5556">
        <w:rPr>
          <w:rFonts w:ascii="Times New Roman" w:hAnsi="Times New Roman"/>
          <w:sz w:val="28"/>
          <w:szCs w:val="28"/>
        </w:rPr>
        <w:t>доход</w:t>
      </w:r>
      <w:r w:rsidR="0001672C">
        <w:rPr>
          <w:rFonts w:ascii="Times New Roman" w:hAnsi="Times New Roman"/>
          <w:sz w:val="28"/>
          <w:szCs w:val="28"/>
        </w:rPr>
        <w:t>и</w:t>
      </w:r>
      <w:r w:rsidRPr="00DB5556">
        <w:rPr>
          <w:rFonts w:ascii="Times New Roman" w:hAnsi="Times New Roman"/>
          <w:sz w:val="28"/>
          <w:szCs w:val="28"/>
        </w:rPr>
        <w:t xml:space="preserve"> бюджет</w:t>
      </w:r>
      <w:r w:rsidR="0001672C">
        <w:rPr>
          <w:rFonts w:ascii="Times New Roman" w:hAnsi="Times New Roman"/>
          <w:sz w:val="28"/>
          <w:szCs w:val="28"/>
        </w:rPr>
        <w:t>у</w:t>
      </w:r>
      <w:r w:rsidRPr="00DB5556">
        <w:rPr>
          <w:rFonts w:ascii="Times New Roman" w:hAnsi="Times New Roman"/>
          <w:sz w:val="28"/>
          <w:szCs w:val="28"/>
        </w:rPr>
        <w:t xml:space="preserve"> громади.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 xml:space="preserve">Адекватність: </w:t>
      </w:r>
      <w:r w:rsidR="0001672C">
        <w:rPr>
          <w:rFonts w:ascii="Times New Roman" w:hAnsi="Times New Roman"/>
          <w:sz w:val="28"/>
          <w:szCs w:val="28"/>
        </w:rPr>
        <w:t xml:space="preserve">затвердження Порядку </w:t>
      </w:r>
      <w:r w:rsidRPr="00DB5556">
        <w:rPr>
          <w:rFonts w:ascii="Times New Roman" w:hAnsi="Times New Roman"/>
          <w:sz w:val="28"/>
          <w:szCs w:val="28"/>
        </w:rPr>
        <w:t xml:space="preserve"> є єдиним дієвим механізмом вирішення проблеми, оскільки ринкові механізми тут не застосовуються.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Ефективність: забезпечує стабільні надходження до місцевого бюджету, що дозволить фінансувати соціальні та інфраструктурні </w:t>
      </w:r>
      <w:proofErr w:type="spellStart"/>
      <w:r w:rsidRPr="00DB5556">
        <w:rPr>
          <w:rFonts w:ascii="Times New Roman" w:hAnsi="Times New Roman"/>
          <w:sz w:val="28"/>
          <w:szCs w:val="28"/>
        </w:rPr>
        <w:t>проєкти</w:t>
      </w:r>
      <w:proofErr w:type="spellEnd"/>
      <w:r w:rsidRPr="00DB5556">
        <w:rPr>
          <w:rFonts w:ascii="Times New Roman" w:hAnsi="Times New Roman"/>
          <w:sz w:val="28"/>
          <w:szCs w:val="28"/>
        </w:rPr>
        <w:t>, сприяє розвитку громади.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>Збалансованість: враховує інтереси як органів місцевого самоврядування (наповнення бюджету), так і суб'єктів господарювання (прозорі та єдині правила). Забезпечується інформування та можливість громадського обговорення.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  <w:t xml:space="preserve">Передбачуваність: встановлення чітких </w:t>
      </w:r>
      <w:r w:rsidR="0001672C">
        <w:rPr>
          <w:rFonts w:ascii="Times New Roman" w:hAnsi="Times New Roman"/>
          <w:sz w:val="28"/>
          <w:szCs w:val="28"/>
        </w:rPr>
        <w:t xml:space="preserve">правил розміщення ТС </w:t>
      </w:r>
      <w:r w:rsidRPr="00DB5556">
        <w:rPr>
          <w:rFonts w:ascii="Times New Roman" w:hAnsi="Times New Roman"/>
          <w:sz w:val="28"/>
          <w:szCs w:val="28"/>
        </w:rPr>
        <w:t>забезпечить передбачуваність для орендарів.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 xml:space="preserve">Прозорість та врахування громадської думки: </w:t>
      </w:r>
      <w:proofErr w:type="spellStart"/>
      <w:r w:rsidRPr="00DB5556">
        <w:rPr>
          <w:rFonts w:ascii="Times New Roman" w:hAnsi="Times New Roman"/>
          <w:sz w:val="28"/>
          <w:szCs w:val="28"/>
        </w:rPr>
        <w:t>проєкт</w:t>
      </w:r>
      <w:proofErr w:type="spellEnd"/>
      <w:r w:rsidRPr="00DB5556">
        <w:rPr>
          <w:rFonts w:ascii="Times New Roman" w:hAnsi="Times New Roman"/>
          <w:sz w:val="28"/>
          <w:szCs w:val="28"/>
        </w:rPr>
        <w:t xml:space="preserve"> акту буде оприлюднений для громадського обговорення, що дозволить врахувати пропозиції та зауваження, у тому числі від СМП.</w:t>
      </w:r>
    </w:p>
    <w:p w:rsidR="00DB5556" w:rsidRPr="00DB5556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>6. Висновок</w:t>
      </w:r>
    </w:p>
    <w:p w:rsidR="00DB5556" w:rsidRP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1672C">
        <w:rPr>
          <w:rFonts w:ascii="Times New Roman" w:hAnsi="Times New Roman"/>
          <w:sz w:val="28"/>
          <w:szCs w:val="28"/>
        </w:rPr>
        <w:t>Проєкт</w:t>
      </w:r>
      <w:proofErr w:type="spellEnd"/>
      <w:r w:rsidRPr="0001672C">
        <w:rPr>
          <w:rFonts w:ascii="Times New Roman" w:hAnsi="Times New Roman"/>
          <w:sz w:val="28"/>
          <w:szCs w:val="28"/>
        </w:rPr>
        <w:t xml:space="preserve"> регуляторного акту </w:t>
      </w:r>
      <w:r w:rsidR="0001672C" w:rsidRPr="0001672C">
        <w:rPr>
          <w:rFonts w:ascii="Times New Roman" w:hAnsi="Times New Roman"/>
          <w:color w:val="1D1D1B"/>
          <w:sz w:val="28"/>
          <w:szCs w:val="28"/>
          <w:bdr w:val="none" w:sz="0" w:space="0" w:color="auto" w:frame="1"/>
          <w:lang w:eastAsia="uk-UA"/>
        </w:rPr>
        <w:t>«</w:t>
      </w:r>
      <w:r w:rsidR="0001672C" w:rsidRPr="0001672C">
        <w:rPr>
          <w:rFonts w:ascii="Times New Roman" w:hAnsi="Times New Roman"/>
          <w:sz w:val="28"/>
          <w:szCs w:val="28"/>
        </w:rPr>
        <w:t>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</w:t>
      </w:r>
      <w:r w:rsidR="00B26A69">
        <w:rPr>
          <w:rFonts w:ascii="Times New Roman" w:hAnsi="Times New Roman"/>
          <w:sz w:val="28"/>
          <w:szCs w:val="28"/>
        </w:rPr>
        <w:t xml:space="preserve"> Обухівського району</w:t>
      </w:r>
      <w:r w:rsidR="0001672C" w:rsidRPr="0001672C">
        <w:rPr>
          <w:rFonts w:ascii="Times New Roman" w:hAnsi="Times New Roman"/>
          <w:sz w:val="28"/>
          <w:szCs w:val="28"/>
        </w:rPr>
        <w:t xml:space="preserve"> Київської області»</w:t>
      </w:r>
      <w:r w:rsidRPr="0001672C">
        <w:rPr>
          <w:rFonts w:ascii="Times New Roman" w:hAnsi="Times New Roman"/>
          <w:sz w:val="28"/>
          <w:szCs w:val="28"/>
        </w:rPr>
        <w:t xml:space="preserve">» має значний вплив на суб'єктів малого підприємництва (юридичних осіб) в частині збільшення фінансового навантаження через </w:t>
      </w:r>
      <w:r w:rsidR="0001672C">
        <w:rPr>
          <w:rFonts w:ascii="Times New Roman" w:hAnsi="Times New Roman"/>
          <w:sz w:val="28"/>
          <w:szCs w:val="28"/>
        </w:rPr>
        <w:t>сплату за сервітут</w:t>
      </w:r>
      <w:r w:rsidRPr="0001672C">
        <w:rPr>
          <w:rFonts w:ascii="Times New Roman" w:hAnsi="Times New Roman"/>
          <w:sz w:val="28"/>
          <w:szCs w:val="28"/>
        </w:rPr>
        <w:t xml:space="preserve">. </w:t>
      </w:r>
      <w:r w:rsidRPr="0001672C">
        <w:rPr>
          <w:rFonts w:ascii="Times New Roman" w:hAnsi="Times New Roman"/>
          <w:sz w:val="28"/>
          <w:szCs w:val="28"/>
        </w:rPr>
        <w:lastRenderedPageBreak/>
        <w:t>Адміністративні витрати для них є відносно невеликими і переважно одноразовими.</w:t>
      </w:r>
    </w:p>
    <w:p w:rsidR="00DB5556" w:rsidRP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672C">
        <w:rPr>
          <w:rFonts w:ascii="Times New Roman" w:hAnsi="Times New Roman"/>
          <w:sz w:val="28"/>
          <w:szCs w:val="28"/>
        </w:rPr>
        <w:t>Незважаючи на збільшення фінансового навантаження, прийняття акту є доцільним, оскільки дозволить:</w:t>
      </w:r>
    </w:p>
    <w:p w:rsidR="00DB5556" w:rsidRP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672C">
        <w:rPr>
          <w:rFonts w:ascii="Times New Roman" w:hAnsi="Times New Roman"/>
          <w:sz w:val="28"/>
          <w:szCs w:val="28"/>
        </w:rPr>
        <w:t>1.</w:t>
      </w:r>
      <w:r w:rsidRPr="0001672C">
        <w:rPr>
          <w:rFonts w:ascii="Times New Roman" w:hAnsi="Times New Roman"/>
          <w:sz w:val="28"/>
          <w:szCs w:val="28"/>
        </w:rPr>
        <w:tab/>
        <w:t>Забезпечити стабільні та прогнозовані надходження до місцевого бюджету, необхідні для реалізації програм розвитку громади.</w:t>
      </w:r>
    </w:p>
    <w:p w:rsidR="00DB5556" w:rsidRP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672C">
        <w:rPr>
          <w:rFonts w:ascii="Times New Roman" w:hAnsi="Times New Roman"/>
          <w:sz w:val="28"/>
          <w:szCs w:val="28"/>
        </w:rPr>
        <w:t>2.</w:t>
      </w:r>
      <w:r w:rsidRPr="0001672C">
        <w:rPr>
          <w:rFonts w:ascii="Times New Roman" w:hAnsi="Times New Roman"/>
          <w:sz w:val="28"/>
          <w:szCs w:val="28"/>
        </w:rPr>
        <w:tab/>
        <w:t xml:space="preserve">Створити прозорі та єдині правила для всіх </w:t>
      </w:r>
      <w:r w:rsidR="0001672C" w:rsidRPr="0001672C">
        <w:rPr>
          <w:rFonts w:ascii="Times New Roman" w:hAnsi="Times New Roman"/>
          <w:sz w:val="28"/>
          <w:szCs w:val="28"/>
        </w:rPr>
        <w:t>власників ТС</w:t>
      </w:r>
      <w:r w:rsidRPr="0001672C">
        <w:rPr>
          <w:rFonts w:ascii="Times New Roman" w:hAnsi="Times New Roman"/>
          <w:sz w:val="28"/>
          <w:szCs w:val="28"/>
        </w:rPr>
        <w:t>, що сприятиме здоровому конкурентному середовищу.</w:t>
      </w:r>
    </w:p>
    <w:p w:rsidR="00DB5556" w:rsidRPr="0001672C" w:rsidRDefault="00DB5556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672C">
        <w:rPr>
          <w:rFonts w:ascii="Times New Roman" w:hAnsi="Times New Roman"/>
          <w:sz w:val="28"/>
          <w:szCs w:val="28"/>
        </w:rPr>
        <w:t>Для мінімізації негативного впливу на СМП, Обухівська міська рада має забезпечити:</w:t>
      </w:r>
    </w:p>
    <w:p w:rsidR="00DB5556" w:rsidRPr="0001672C" w:rsidRDefault="00B26A69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B5556" w:rsidRPr="0001672C">
        <w:rPr>
          <w:rFonts w:ascii="Times New Roman" w:hAnsi="Times New Roman"/>
          <w:sz w:val="28"/>
          <w:szCs w:val="28"/>
        </w:rPr>
        <w:t>широке інформування про зміни та надання роз'яснень.</w:t>
      </w:r>
    </w:p>
    <w:p w:rsidR="00DB5556" w:rsidRPr="0001672C" w:rsidRDefault="00B26A69" w:rsidP="00DB555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B5556" w:rsidRPr="0001672C">
        <w:rPr>
          <w:rFonts w:ascii="Times New Roman" w:hAnsi="Times New Roman"/>
          <w:sz w:val="28"/>
          <w:szCs w:val="28"/>
        </w:rPr>
        <w:tab/>
        <w:t>можливість доступних консультацій для СМП.</w:t>
      </w:r>
    </w:p>
    <w:p w:rsidR="00DB5556" w:rsidRDefault="00DB5556" w:rsidP="00DB5556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 w:rsidRPr="00DB5556">
        <w:rPr>
          <w:rFonts w:ascii="Times New Roman" w:hAnsi="Times New Roman"/>
          <w:sz w:val="28"/>
          <w:szCs w:val="28"/>
        </w:rPr>
        <w:tab/>
      </w: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DB5556" w:rsidRDefault="00DB5556" w:rsidP="00613AB7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sectPr w:rsidR="00DB5556" w:rsidSect="003969BA"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E7321"/>
    <w:multiLevelType w:val="multilevel"/>
    <w:tmpl w:val="19CA9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272E4"/>
    <w:multiLevelType w:val="multilevel"/>
    <w:tmpl w:val="EBA6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C3204"/>
    <w:multiLevelType w:val="hybridMultilevel"/>
    <w:tmpl w:val="9940B3F2"/>
    <w:lvl w:ilvl="0" w:tplc="C10EE6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49A7CC0"/>
    <w:multiLevelType w:val="multilevel"/>
    <w:tmpl w:val="63BED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6B5F6D"/>
    <w:multiLevelType w:val="multilevel"/>
    <w:tmpl w:val="4F804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2E63E6"/>
    <w:multiLevelType w:val="multilevel"/>
    <w:tmpl w:val="901E3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BD1D35"/>
    <w:multiLevelType w:val="multilevel"/>
    <w:tmpl w:val="6F545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4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1F5984"/>
    <w:multiLevelType w:val="multilevel"/>
    <w:tmpl w:val="F25E8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D25022"/>
    <w:multiLevelType w:val="multilevel"/>
    <w:tmpl w:val="FAD0A2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806B40"/>
    <w:multiLevelType w:val="multilevel"/>
    <w:tmpl w:val="9E105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445FB"/>
    <w:multiLevelType w:val="hybridMultilevel"/>
    <w:tmpl w:val="BFBE8E02"/>
    <w:lvl w:ilvl="0" w:tplc="31D65072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CEE36FB"/>
    <w:multiLevelType w:val="multilevel"/>
    <w:tmpl w:val="DDAA63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uk-UA" w:eastAsia="uk-UA" w:bidi="uk-UA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470147"/>
    <w:multiLevelType w:val="multilevel"/>
    <w:tmpl w:val="66E49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5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795F0C"/>
    <w:multiLevelType w:val="multilevel"/>
    <w:tmpl w:val="19728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682715"/>
    <w:multiLevelType w:val="hybridMultilevel"/>
    <w:tmpl w:val="B9FA3022"/>
    <w:lvl w:ilvl="0" w:tplc="23108D0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EF4F07"/>
    <w:multiLevelType w:val="multilevel"/>
    <w:tmpl w:val="F618A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916169"/>
    <w:multiLevelType w:val="multilevel"/>
    <w:tmpl w:val="6B36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3F26D2"/>
    <w:multiLevelType w:val="multilevel"/>
    <w:tmpl w:val="F5928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F05B7F"/>
    <w:multiLevelType w:val="multilevel"/>
    <w:tmpl w:val="B192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</w:num>
  <w:num w:numId="5">
    <w:abstractNumId w:val="8"/>
  </w:num>
  <w:num w:numId="6">
    <w:abstractNumId w:val="6"/>
  </w:num>
  <w:num w:numId="7">
    <w:abstractNumId w:val="12"/>
  </w:num>
  <w:num w:numId="8">
    <w:abstractNumId w:val="0"/>
  </w:num>
  <w:num w:numId="9">
    <w:abstractNumId w:val="5"/>
  </w:num>
  <w:num w:numId="10">
    <w:abstractNumId w:val="18"/>
  </w:num>
  <w:num w:numId="11">
    <w:abstractNumId w:val="15"/>
  </w:num>
  <w:num w:numId="12">
    <w:abstractNumId w:val="4"/>
  </w:num>
  <w:num w:numId="13">
    <w:abstractNumId w:val="16"/>
  </w:num>
  <w:num w:numId="14">
    <w:abstractNumId w:val="17"/>
  </w:num>
  <w:num w:numId="15">
    <w:abstractNumId w:val="1"/>
  </w:num>
  <w:num w:numId="16">
    <w:abstractNumId w:val="14"/>
  </w:num>
  <w:num w:numId="17">
    <w:abstractNumId w:val="10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5A"/>
    <w:rsid w:val="0001672C"/>
    <w:rsid w:val="00041BE7"/>
    <w:rsid w:val="00043FEA"/>
    <w:rsid w:val="00085F6A"/>
    <w:rsid w:val="00123B5A"/>
    <w:rsid w:val="00157B04"/>
    <w:rsid w:val="001B0E39"/>
    <w:rsid w:val="00204620"/>
    <w:rsid w:val="00206936"/>
    <w:rsid w:val="00234E6C"/>
    <w:rsid w:val="00252CF2"/>
    <w:rsid w:val="00284E2E"/>
    <w:rsid w:val="00284F72"/>
    <w:rsid w:val="002B4638"/>
    <w:rsid w:val="002D0839"/>
    <w:rsid w:val="003012B3"/>
    <w:rsid w:val="003345D8"/>
    <w:rsid w:val="00371BAC"/>
    <w:rsid w:val="003969BA"/>
    <w:rsid w:val="003979EB"/>
    <w:rsid w:val="003B2CEE"/>
    <w:rsid w:val="003C2E6D"/>
    <w:rsid w:val="00414DDF"/>
    <w:rsid w:val="00476440"/>
    <w:rsid w:val="00584976"/>
    <w:rsid w:val="005C2F7F"/>
    <w:rsid w:val="005C4E03"/>
    <w:rsid w:val="005D0688"/>
    <w:rsid w:val="00613AB7"/>
    <w:rsid w:val="006342FD"/>
    <w:rsid w:val="00690F91"/>
    <w:rsid w:val="006C0B77"/>
    <w:rsid w:val="00701E17"/>
    <w:rsid w:val="007B409F"/>
    <w:rsid w:val="007D0A4C"/>
    <w:rsid w:val="008242FF"/>
    <w:rsid w:val="008409B3"/>
    <w:rsid w:val="00870751"/>
    <w:rsid w:val="008760BC"/>
    <w:rsid w:val="008C5D75"/>
    <w:rsid w:val="008D32A4"/>
    <w:rsid w:val="008E44D7"/>
    <w:rsid w:val="00904F8A"/>
    <w:rsid w:val="00922C48"/>
    <w:rsid w:val="00935480"/>
    <w:rsid w:val="00957C50"/>
    <w:rsid w:val="00963672"/>
    <w:rsid w:val="00971B03"/>
    <w:rsid w:val="00993F10"/>
    <w:rsid w:val="009B6400"/>
    <w:rsid w:val="009F2006"/>
    <w:rsid w:val="00A2141B"/>
    <w:rsid w:val="00A44869"/>
    <w:rsid w:val="00B26A69"/>
    <w:rsid w:val="00B4085C"/>
    <w:rsid w:val="00B7172A"/>
    <w:rsid w:val="00B72CD8"/>
    <w:rsid w:val="00B7381F"/>
    <w:rsid w:val="00B915B7"/>
    <w:rsid w:val="00C361AA"/>
    <w:rsid w:val="00C85FE1"/>
    <w:rsid w:val="00CA11DC"/>
    <w:rsid w:val="00CD44BB"/>
    <w:rsid w:val="00CD502D"/>
    <w:rsid w:val="00CE5955"/>
    <w:rsid w:val="00DB5556"/>
    <w:rsid w:val="00DF48EF"/>
    <w:rsid w:val="00E00BE7"/>
    <w:rsid w:val="00E20D7C"/>
    <w:rsid w:val="00E45239"/>
    <w:rsid w:val="00E657CF"/>
    <w:rsid w:val="00E878F1"/>
    <w:rsid w:val="00EA59DF"/>
    <w:rsid w:val="00ED4C6E"/>
    <w:rsid w:val="00EE4070"/>
    <w:rsid w:val="00F12C76"/>
    <w:rsid w:val="00F83FA6"/>
    <w:rsid w:val="00FB5CF1"/>
    <w:rsid w:val="00FC39FC"/>
    <w:rsid w:val="00FC5970"/>
    <w:rsid w:val="00F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630DCE-2856-4673-B277-A4C437AAF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AB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semiHidden/>
    <w:rsid w:val="00613AB7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4">
    <w:name w:val="Назва документа"/>
    <w:basedOn w:val="a"/>
    <w:next w:val="a3"/>
    <w:semiHidden/>
    <w:rsid w:val="00613AB7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styleId="a5">
    <w:name w:val="List Paragraph"/>
    <w:basedOn w:val="a"/>
    <w:uiPriority w:val="34"/>
    <w:qFormat/>
    <w:rsid w:val="0096367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C2E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rsid w:val="003C2E6D"/>
    <w:rPr>
      <w:rFonts w:ascii="Segoe UI" w:hAnsi="Segoe UI" w:cs="Segoe UI"/>
      <w:sz w:val="18"/>
      <w:szCs w:val="18"/>
      <w:lang w:val="uk-UA"/>
    </w:rPr>
  </w:style>
  <w:style w:type="character" w:styleId="a8">
    <w:name w:val="Hyperlink"/>
    <w:basedOn w:val="a0"/>
    <w:rsid w:val="00E878F1"/>
    <w:rPr>
      <w:color w:val="0066CC"/>
      <w:u w:val="single"/>
    </w:rPr>
  </w:style>
  <w:style w:type="character" w:customStyle="1" w:styleId="3">
    <w:name w:val="Основний текст (3)_"/>
    <w:basedOn w:val="a0"/>
    <w:link w:val="30"/>
    <w:rsid w:val="00E878F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E878F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1pt">
    <w:name w:val="Основний текст (2) + 11 pt"/>
    <w:basedOn w:val="a0"/>
    <w:rsid w:val="00E87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2105pt">
    <w:name w:val="Основний текст (2) + 10;5 pt;Курсив"/>
    <w:basedOn w:val="a0"/>
    <w:rsid w:val="00E878F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uk-UA" w:eastAsia="uk-UA" w:bidi="uk-UA"/>
    </w:rPr>
  </w:style>
  <w:style w:type="character" w:customStyle="1" w:styleId="a9">
    <w:name w:val="Підпис до таблиці_"/>
    <w:basedOn w:val="a0"/>
    <w:link w:val="aa"/>
    <w:rsid w:val="00E878F1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4">
    <w:name w:val="Основний текст (4)_"/>
    <w:basedOn w:val="a0"/>
    <w:link w:val="40"/>
    <w:rsid w:val="00E878F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ий текст (2)"/>
    <w:basedOn w:val="a0"/>
    <w:rsid w:val="00E87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paragraph" w:customStyle="1" w:styleId="30">
    <w:name w:val="Основний текст (3)"/>
    <w:basedOn w:val="a"/>
    <w:link w:val="3"/>
    <w:rsid w:val="00E878F1"/>
    <w:pPr>
      <w:widowControl w:val="0"/>
      <w:shd w:val="clear" w:color="auto" w:fill="FFFFFF"/>
      <w:spacing w:after="240" w:line="274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10">
    <w:name w:val="Заголовок №1"/>
    <w:basedOn w:val="a"/>
    <w:link w:val="1"/>
    <w:rsid w:val="00E878F1"/>
    <w:pPr>
      <w:widowControl w:val="0"/>
      <w:shd w:val="clear" w:color="auto" w:fill="FFFFFF"/>
      <w:spacing w:before="240"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aa">
    <w:name w:val="Підпис до таблиці"/>
    <w:basedOn w:val="a"/>
    <w:link w:val="a9"/>
    <w:rsid w:val="00E878F1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b/>
      <w:bCs/>
      <w:sz w:val="18"/>
      <w:szCs w:val="18"/>
      <w:lang w:val="ru-RU"/>
    </w:rPr>
  </w:style>
  <w:style w:type="paragraph" w:customStyle="1" w:styleId="40">
    <w:name w:val="Основний текст (4)"/>
    <w:basedOn w:val="a"/>
    <w:link w:val="4"/>
    <w:rsid w:val="00E878F1"/>
    <w:pPr>
      <w:widowControl w:val="0"/>
      <w:shd w:val="clear" w:color="auto" w:fill="FFFFFF"/>
      <w:spacing w:before="300" w:after="0" w:line="298" w:lineRule="exact"/>
      <w:ind w:firstLine="800"/>
    </w:pPr>
    <w:rPr>
      <w:rFonts w:ascii="Times New Roman" w:eastAsia="Times New Roman" w:hAnsi="Times New Roman" w:cs="Times New Roman"/>
      <w:b/>
      <w:bCs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7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1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5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0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AF4F0-50B7-4DD8-8DB7-3EC9D2CF1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2760</Words>
  <Characters>15734</Characters>
  <Application>Microsoft Office Word</Application>
  <DocSecurity>0</DocSecurity>
  <Lines>131</Lines>
  <Paragraphs>36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2026-03-13T11:29:00Z</cp:lastPrinted>
  <dcterms:created xsi:type="dcterms:W3CDTF">2026-03-16T08:54:00Z</dcterms:created>
  <dcterms:modified xsi:type="dcterms:W3CDTF">2026-03-17T12:38:00Z</dcterms:modified>
</cp:coreProperties>
</file>