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E9" w:rsidRPr="004230E9" w:rsidRDefault="004230E9" w:rsidP="004230E9">
      <w:pPr>
        <w:keepNext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noProof/>
          <w:kern w:val="2"/>
          <w:sz w:val="24"/>
          <w:szCs w:val="24"/>
          <w:lang w:val="uk-UA" w:eastAsia="uk-UA"/>
        </w:rPr>
        <w:drawing>
          <wp:inline distT="0" distB="0" distL="0" distR="0">
            <wp:extent cx="523875" cy="638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" t="-125" r="-159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ru-RU"/>
        </w:rPr>
        <w:t xml:space="preserve">ОБУХІВСЬКА МІСЬКА РАДА             </w:t>
      </w:r>
    </w:p>
    <w:p w:rsidR="004230E9" w:rsidRPr="004230E9" w:rsidRDefault="004230E9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kern w:val="2"/>
          <w:sz w:val="32"/>
          <w:szCs w:val="32"/>
          <w:lang w:val="uk-UA" w:eastAsia="zh-CN" w:bidi="hi-IN"/>
        </w:rPr>
        <w:t xml:space="preserve"> КИЇВСЬКОЇ ОБЛАСТІ</w:t>
      </w:r>
    </w:p>
    <w:p w:rsidR="004230E9" w:rsidRPr="004230E9" w:rsidRDefault="004230E9" w:rsidP="004230E9">
      <w:pPr>
        <w:keepNext/>
        <w:pBdr>
          <w:bottom w:val="single" w:sz="12" w:space="1" w:color="000000"/>
        </w:pBdr>
        <w:suppressAutoHyphens/>
        <w:spacing w:after="0" w:line="240" w:lineRule="auto"/>
        <w:ind w:left="5812" w:hanging="5760"/>
        <w:jc w:val="center"/>
        <w:rPr>
          <w:rFonts w:ascii="Times New Roman" w:eastAsia="DejaVu Sans" w:hAnsi="Times New Roman" w:cs="Times New Roman"/>
          <w:b/>
          <w:kern w:val="2"/>
          <w:sz w:val="4"/>
          <w:szCs w:val="28"/>
          <w:lang w:val="uk-UA" w:eastAsia="ru-RU"/>
        </w:rPr>
      </w:pPr>
    </w:p>
    <w:p w:rsidR="004230E9" w:rsidRPr="004230E9" w:rsidRDefault="00077427" w:rsidP="004230E9">
      <w:pPr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</w:pPr>
      <w:r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 xml:space="preserve">СІМДЕСЯТА </w:t>
      </w:r>
      <w:r w:rsidR="004230E9" w:rsidRPr="004230E9">
        <w:rPr>
          <w:rFonts w:ascii="Times New Roman" w:eastAsia="DejaVu Sans" w:hAnsi="Times New Roman" w:cs="Times New Roman"/>
          <w:b/>
          <w:bCs/>
          <w:kern w:val="2"/>
          <w:sz w:val="24"/>
          <w:szCs w:val="24"/>
          <w:lang w:val="uk-UA" w:eastAsia="zh-CN" w:bidi="hi-IN"/>
        </w:rPr>
        <w:t>СЕСІЯ ВОСЬ</w:t>
      </w:r>
      <w:r w:rsidR="004230E9" w:rsidRPr="004230E9">
        <w:rPr>
          <w:rFonts w:ascii="Times New Roman" w:eastAsia="DejaVu Sans" w:hAnsi="Times New Roman" w:cs="Times New Roman"/>
          <w:b/>
          <w:kern w:val="2"/>
          <w:sz w:val="24"/>
          <w:szCs w:val="24"/>
          <w:lang w:val="uk-UA" w:eastAsia="zh-CN" w:bidi="hi-IN"/>
        </w:rPr>
        <w:t>МОГО СКЛИКАННЯ</w:t>
      </w:r>
    </w:p>
    <w:p w:rsidR="004230E9" w:rsidRPr="004230E9" w:rsidRDefault="004230E9" w:rsidP="004230E9">
      <w:pPr>
        <w:keepNext/>
        <w:suppressAutoHyphens/>
        <w:spacing w:before="240" w:after="60" w:line="240" w:lineRule="auto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uk-UA" w:eastAsia="zh-CN" w:bidi="hi-IN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Р  І  Ш  Е  Н  </w:t>
      </w:r>
      <w:proofErr w:type="spellStart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>Н</w:t>
      </w:r>
      <w:proofErr w:type="spellEnd"/>
      <w:r w:rsidRPr="004230E9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 Я</w:t>
      </w:r>
      <w:r w:rsidR="0049339F">
        <w:rPr>
          <w:rFonts w:ascii="Times New Roman" w:eastAsia="DejaVu Sans" w:hAnsi="Times New Roman" w:cs="Times New Roman"/>
          <w:b/>
          <w:bCs/>
          <w:kern w:val="2"/>
          <w:sz w:val="32"/>
          <w:szCs w:val="32"/>
          <w:lang w:val="uk-UA" w:eastAsia="ru-RU"/>
        </w:rPr>
        <w:t xml:space="preserve"> </w:t>
      </w:r>
    </w:p>
    <w:p w:rsidR="004230E9" w:rsidRDefault="004230E9" w:rsidP="004230E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/>
        <w:spacing w:before="240" w:after="60" w:line="240" w:lineRule="auto"/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</w:pP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</w:t>
      </w:r>
      <w:r w:rsidR="0049339F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                  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202</w:t>
      </w:r>
      <w:r w:rsidR="0007742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>5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zh-CN" w:bidi="hi-IN"/>
        </w:rPr>
        <w:t xml:space="preserve"> року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ab/>
        <w:t xml:space="preserve">      № </w:t>
      </w:r>
      <w:r w:rsidR="006907C1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 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</w:t>
      </w:r>
      <w:r w:rsidR="00077427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- 70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 xml:space="preserve"> – 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eastAsia="ru-RU"/>
        </w:rPr>
        <w:t>V</w:t>
      </w:r>
      <w:r w:rsidRPr="004230E9">
        <w:rPr>
          <w:rFonts w:ascii="Times New Roman" w:eastAsia="DejaVu Sans" w:hAnsi="Times New Roman" w:cs="Times New Roman"/>
          <w:b/>
          <w:bCs/>
          <w:kern w:val="2"/>
          <w:sz w:val="28"/>
          <w:szCs w:val="28"/>
          <w:lang w:val="uk-UA" w:eastAsia="ru-RU"/>
        </w:rPr>
        <w:t>ІІІ</w:t>
      </w:r>
    </w:p>
    <w:p w:rsidR="004230E9" w:rsidRPr="00EF30E0" w:rsidRDefault="004230E9" w:rsidP="004230E9">
      <w:pPr>
        <w:rPr>
          <w:lang w:val="uk-UA"/>
        </w:rPr>
      </w:pPr>
    </w:p>
    <w:p w:rsidR="00466F82" w:rsidRPr="00466F82" w:rsidRDefault="00466F82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970A0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16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F7F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731C39" w:rsidRDefault="004230E9" w:rsidP="0059133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30E0" w:rsidRPr="00EF3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роки»</w:t>
      </w:r>
      <w:r w:rsidR="00786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2025 р.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міської ради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57E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Київської області </w:t>
      </w:r>
      <w:r w:rsidR="00CE4B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20.12.2024 р.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№ </w:t>
      </w:r>
      <w:r w:rsidR="00CE4B89" w:rsidRPr="00CE4B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1481 - 67 – VІІІ </w:t>
      </w:r>
      <w:bookmarkStart w:id="0" w:name="_GoBack"/>
      <w:bookmarkEnd w:id="0"/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 – Програма)</w:t>
      </w:r>
      <w:r w:rsidR="005913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1" w:name="__DdeLink__252_1974740656"/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5913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1"/>
      <w:r w:rsidRPr="004230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</w:p>
    <w:p w:rsidR="00BB0A9B" w:rsidRDefault="00970A07" w:rsidP="00970A07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Управлінню капітального будівництва </w:t>
      </w:r>
      <w:r w:rsidRP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експлуатаційних послуг виконавчого комітету Обухівської міської ради Київської області</w:t>
      </w:r>
      <w:r w:rsidR="00BB0A9B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головному розпоряднику коштів міського бюджету здійсн</w:t>
      </w:r>
      <w:r w:rsidR="00BB0A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BB0A9B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BB0A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BB0A9B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B0A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31C39" w:rsidRPr="00A57E20" w:rsidRDefault="00BB0A9B" w:rsidP="005913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70A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p w:rsidR="0049339F" w:rsidRDefault="0049339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br w:type="page"/>
      </w:r>
    </w:p>
    <w:p w:rsidR="0049339F" w:rsidRDefault="0049339F" w:rsidP="00493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49339F" w:rsidRDefault="0049339F" w:rsidP="004933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41C9F" w:rsidRPr="00641C9F" w:rsidRDefault="00641C9F" w:rsidP="00641C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41C9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641C9F" w:rsidRDefault="00641C9F" w:rsidP="00641C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41C9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641C9F" w:rsidRDefault="00641C9F" w:rsidP="00E030C8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41C9F" w:rsidRDefault="00641C9F" w:rsidP="00E030C8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030C8" w:rsidRPr="00E030C8" w:rsidRDefault="00E030C8" w:rsidP="00E030C8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Начальник управління капітального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</w:t>
      </w:r>
      <w:r w:rsidRP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Олександр ШУМЛЯНСЬКИЙ</w:t>
      </w:r>
    </w:p>
    <w:p w:rsidR="00BC5E28" w:rsidRPr="00BC5E28" w:rsidRDefault="00E030C8" w:rsidP="00E030C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</w:t>
      </w:r>
      <w:r w:rsidR="00BC5E28"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E030C8" w:rsidRPr="00BC5E28" w:rsidRDefault="00E030C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8B3EA3" w:rsidRPr="00BC5E28" w:rsidRDefault="008B3EA3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області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Вікторія  ІЩЕНКО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соціально – економічного 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розвитку,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B3EA3" w:rsidRPr="00BC5E28" w:rsidRDefault="008B3EA3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Голова постійної комісії комунальної власності,                          </w:t>
      </w:r>
      <w:r w:rsidR="005D68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Анатолій КІЯНЧЕНКО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господарства, енергозбер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еження, 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вської міської ради ________2025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року,  розміщений на інформаційному стенді</w:t>
      </w:r>
      <w:r w:rsidR="00E03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міської ради ______________2025</w:t>
      </w:r>
      <w:r w:rsidRPr="00BC5E2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:rsidR="00BC5E28" w:rsidRPr="00BC5E28" w:rsidRDefault="00BC5E28" w:rsidP="00BC5E2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9339F" w:rsidRPr="00BC5E28" w:rsidRDefault="0049339F" w:rsidP="0049339F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p w:rsidR="00232941" w:rsidRPr="00BC5E28" w:rsidRDefault="00232941" w:rsidP="00BB0A9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hAnsi="Times New Roman CYR" w:cs="Times New Roman CYR"/>
          <w:spacing w:val="-3"/>
          <w:sz w:val="24"/>
          <w:szCs w:val="24"/>
          <w:lang w:val="uk-UA"/>
        </w:rPr>
      </w:pPr>
    </w:p>
    <w:sectPr w:rsidR="00232941" w:rsidRPr="00BC5E28" w:rsidSect="004F2B92">
      <w:headerReference w:type="default" r:id="rId8"/>
      <w:pgSz w:w="12240" w:h="15840"/>
      <w:pgMar w:top="284" w:right="850" w:bottom="0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E9A" w:rsidRDefault="003D1E9A" w:rsidP="005B5269">
      <w:pPr>
        <w:spacing w:after="0" w:line="240" w:lineRule="auto"/>
      </w:pPr>
      <w:r>
        <w:separator/>
      </w:r>
    </w:p>
  </w:endnote>
  <w:endnote w:type="continuationSeparator" w:id="0">
    <w:p w:rsidR="003D1E9A" w:rsidRDefault="003D1E9A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E9A" w:rsidRDefault="003D1E9A" w:rsidP="005B5269">
      <w:pPr>
        <w:spacing w:after="0" w:line="240" w:lineRule="auto"/>
      </w:pPr>
      <w:r>
        <w:separator/>
      </w:r>
    </w:p>
  </w:footnote>
  <w:footnote w:type="continuationSeparator" w:id="0">
    <w:p w:rsidR="003D1E9A" w:rsidRDefault="003D1E9A" w:rsidP="005B5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3C" w:rsidRDefault="00D0483C">
    <w:pPr>
      <w:pStyle w:val="ac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</w:t>
    </w:r>
    <w:r w:rsidR="00731C39">
      <w:rPr>
        <w:lang w:val="uk-UA"/>
      </w:rPr>
      <w:t xml:space="preserve">                          </w:t>
    </w:r>
  </w:p>
  <w:p w:rsidR="00D0483C" w:rsidRPr="00D0483C" w:rsidRDefault="00D0483C">
    <w:pPr>
      <w:pStyle w:val="ac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3B10"/>
    <w:rsid w:val="00077427"/>
    <w:rsid w:val="000B7EA7"/>
    <w:rsid w:val="000C2499"/>
    <w:rsid w:val="000E7653"/>
    <w:rsid w:val="000F7F2E"/>
    <w:rsid w:val="00100A10"/>
    <w:rsid w:val="00113A1E"/>
    <w:rsid w:val="001316C7"/>
    <w:rsid w:val="00157585"/>
    <w:rsid w:val="00191A0D"/>
    <w:rsid w:val="00192095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3E33"/>
    <w:rsid w:val="003B1D8F"/>
    <w:rsid w:val="003B6630"/>
    <w:rsid w:val="003C1EFD"/>
    <w:rsid w:val="003D1E9A"/>
    <w:rsid w:val="00414597"/>
    <w:rsid w:val="004155CE"/>
    <w:rsid w:val="004230E9"/>
    <w:rsid w:val="00466F82"/>
    <w:rsid w:val="00470999"/>
    <w:rsid w:val="00481787"/>
    <w:rsid w:val="0049339F"/>
    <w:rsid w:val="004B431E"/>
    <w:rsid w:val="004D3C87"/>
    <w:rsid w:val="004F2243"/>
    <w:rsid w:val="004F2B92"/>
    <w:rsid w:val="0057423B"/>
    <w:rsid w:val="0059133E"/>
    <w:rsid w:val="00592E43"/>
    <w:rsid w:val="005B5269"/>
    <w:rsid w:val="005D68BF"/>
    <w:rsid w:val="005D7272"/>
    <w:rsid w:val="005E12E2"/>
    <w:rsid w:val="005E44BE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30916"/>
    <w:rsid w:val="00845E4E"/>
    <w:rsid w:val="00861CF4"/>
    <w:rsid w:val="00872F40"/>
    <w:rsid w:val="00877E20"/>
    <w:rsid w:val="0088161E"/>
    <w:rsid w:val="00884325"/>
    <w:rsid w:val="00895393"/>
    <w:rsid w:val="008B3EA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633F2"/>
    <w:rsid w:val="00B716EF"/>
    <w:rsid w:val="00BB0A9B"/>
    <w:rsid w:val="00BB3C71"/>
    <w:rsid w:val="00BC5E28"/>
    <w:rsid w:val="00C010C2"/>
    <w:rsid w:val="00C11E74"/>
    <w:rsid w:val="00C75A34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34A3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6156"/>
    <w:rsid w:val="00F6069E"/>
    <w:rsid w:val="00F65342"/>
    <w:rsid w:val="00F73C25"/>
    <w:rsid w:val="00FA53B8"/>
    <w:rsid w:val="00FD13DC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05FED-00B1-4762-BA23-DDEFDC5E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VKB0</cp:lastModifiedBy>
  <cp:revision>26</cp:revision>
  <cp:lastPrinted>2024-01-23T08:46:00Z</cp:lastPrinted>
  <dcterms:created xsi:type="dcterms:W3CDTF">2024-09-30T07:15:00Z</dcterms:created>
  <dcterms:modified xsi:type="dcterms:W3CDTF">2025-01-20T07:58:00Z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