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4B" w:rsidRPr="00EF574B" w:rsidRDefault="00EF574B" w:rsidP="00EF574B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/>
        </w:rPr>
      </w:pPr>
      <w:r w:rsidRPr="00EF574B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D43C4DA" wp14:editId="1BBA2A5B">
            <wp:extent cx="514350" cy="638175"/>
            <wp:effectExtent l="0" t="0" r="0" b="9525"/>
            <wp:docPr id="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74B" w:rsidRPr="00EF574B" w:rsidRDefault="00EF574B" w:rsidP="00EF574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EF574B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EF574B" w:rsidRPr="00EF574B" w:rsidRDefault="00EF574B" w:rsidP="00EF574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EF574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EF574B" w:rsidRPr="00EF574B" w:rsidRDefault="00EF574B" w:rsidP="00EF574B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eastAsia="ru-RU"/>
        </w:rPr>
      </w:pPr>
    </w:p>
    <w:p w:rsidR="00EF574B" w:rsidRPr="00EF574B" w:rsidRDefault="00EF574B" w:rsidP="00EF574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ШІСТДЕСЯТ СЬОМА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EF57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МОГО СКЛИКАННЯ</w:t>
      </w:r>
    </w:p>
    <w:p w:rsidR="00EF574B" w:rsidRPr="00EF574B" w:rsidRDefault="00EF574B" w:rsidP="00EF574B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proofErr w:type="gramStart"/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Р  І</w:t>
      </w:r>
      <w:proofErr w:type="gramEnd"/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  Ш  Е  Н  </w:t>
      </w:r>
      <w:proofErr w:type="spellStart"/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:rsidR="00EF574B" w:rsidRPr="00EF574B" w:rsidRDefault="00EF574B" w:rsidP="00EF574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2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0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грудня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202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4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№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510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-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67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– 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EF574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:rsidR="00DE544C" w:rsidRPr="00EF574B" w:rsidRDefault="00DE544C" w:rsidP="0016508E">
      <w:pPr>
        <w:tabs>
          <w:tab w:val="left" w:pos="18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544C" w:rsidRPr="00EF574B" w:rsidRDefault="00B617A4" w:rsidP="00EF574B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кошторису щодо виконання</w:t>
      </w:r>
      <w:r w:rsidR="002F774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Договору</w:t>
      </w:r>
      <w:r w:rsidR="00837B3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№1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 співробі</w:t>
      </w:r>
      <w:r w:rsidR="00837B3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тництво Обухівської міської та </w:t>
      </w:r>
      <w:proofErr w:type="spellStart"/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Козинської</w:t>
      </w:r>
      <w:proofErr w:type="spellEnd"/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селищної територіальних громад у галузі охорони здоров’я</w:t>
      </w:r>
      <w:r w:rsidR="0016508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 формі спільного фінансування 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(утримання)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Комунального некомерційного підприємства Обухівської міської ради </w:t>
      </w:r>
      <w:r w:rsidR="00DE544C" w:rsidRPr="0016508E">
        <w:rPr>
          <w:rFonts w:ascii="Times New Roman" w:hAnsi="Times New Roman" w:cs="Times New Roman"/>
          <w:b/>
          <w:sz w:val="28"/>
          <w:szCs w:val="28"/>
          <w:lang w:val="uk-UA"/>
        </w:rPr>
        <w:t>«Обухівська багатопрофільна лікарня інтенсивного лікування»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об</w:t>
      </w:r>
      <w:r w:rsidR="00EF574B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сягом міжбюджетних трансфертів на</w:t>
      </w:r>
      <w:r w:rsidR="00DE544C" w:rsidRPr="0016508E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2024- 2027 роки</w:t>
      </w:r>
      <w:r w:rsidR="002F774A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на 2025 рік</w:t>
      </w:r>
    </w:p>
    <w:p w:rsidR="00FE0356" w:rsidRPr="00500848" w:rsidRDefault="00FE0356" w:rsidP="00FE035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DE544C" w:rsidRPr="0016508E" w:rsidRDefault="00DE544C" w:rsidP="00EF574B">
      <w:pPr>
        <w:pStyle w:val="20"/>
        <w:shd w:val="clear" w:color="auto" w:fill="auto"/>
        <w:spacing w:before="0" w:line="240" w:lineRule="auto"/>
        <w:ind w:firstLine="709"/>
        <w:jc w:val="both"/>
        <w:rPr>
          <w:bCs/>
          <w:sz w:val="28"/>
          <w:szCs w:val="28"/>
          <w:lang w:val="uk-UA"/>
        </w:rPr>
      </w:pPr>
      <w:r w:rsidRPr="0016508E">
        <w:rPr>
          <w:rFonts w:eastAsia="Times New Roman"/>
          <w:sz w:val="28"/>
          <w:szCs w:val="28"/>
          <w:lang w:val="uk-UA" w:eastAsia="ru-RU"/>
        </w:rPr>
        <w:t xml:space="preserve">Розглянувши </w:t>
      </w:r>
      <w:r w:rsidR="002F774A">
        <w:rPr>
          <w:rFonts w:eastAsia="Times New Roman"/>
          <w:sz w:val="28"/>
          <w:szCs w:val="28"/>
          <w:lang w:val="uk-UA" w:eastAsia="ru-RU"/>
        </w:rPr>
        <w:t xml:space="preserve">лист </w:t>
      </w:r>
      <w:proofErr w:type="spellStart"/>
      <w:r w:rsidR="002F774A">
        <w:rPr>
          <w:rFonts w:eastAsia="Times New Roman"/>
          <w:sz w:val="28"/>
          <w:szCs w:val="28"/>
          <w:lang w:val="uk-UA" w:eastAsia="ru-RU"/>
        </w:rPr>
        <w:t>Козинської</w:t>
      </w:r>
      <w:proofErr w:type="spellEnd"/>
      <w:r w:rsidR="002F774A">
        <w:rPr>
          <w:rFonts w:eastAsia="Times New Roman"/>
          <w:sz w:val="28"/>
          <w:szCs w:val="28"/>
          <w:lang w:val="uk-UA" w:eastAsia="ru-RU"/>
        </w:rPr>
        <w:t xml:space="preserve"> селищної ради </w:t>
      </w:r>
      <w:r w:rsidR="002F774A">
        <w:rPr>
          <w:sz w:val="28"/>
          <w:szCs w:val="28"/>
          <w:lang w:val="uk-UA"/>
        </w:rPr>
        <w:t>№ 3496/09-06/07-2024</w:t>
      </w:r>
      <w:r w:rsidR="00640C87">
        <w:rPr>
          <w:sz w:val="28"/>
          <w:szCs w:val="28"/>
          <w:lang w:val="uk-UA"/>
        </w:rPr>
        <w:t xml:space="preserve"> </w:t>
      </w:r>
      <w:r w:rsidR="00EF574B">
        <w:rPr>
          <w:sz w:val="28"/>
          <w:szCs w:val="28"/>
          <w:lang w:val="uk-UA"/>
        </w:rPr>
        <w:t>від 12.12.2024</w:t>
      </w:r>
      <w:r w:rsidR="0016508E">
        <w:rPr>
          <w:sz w:val="28"/>
          <w:szCs w:val="28"/>
          <w:lang w:val="uk-UA"/>
        </w:rPr>
        <w:t xml:space="preserve"> к</w:t>
      </w:r>
      <w:r w:rsidRPr="0016508E">
        <w:rPr>
          <w:sz w:val="28"/>
          <w:szCs w:val="28"/>
          <w:lang w:val="uk-UA"/>
        </w:rPr>
        <w:t>еруючись ст. 25, 26, 59, розділом У ПРИКІНЦЕВІ ТА ПЕРЕХІДНІ ПОЛОЖЕННЯ Закону України «Про місцеве самоврядування в Україні», Закону України «</w:t>
      </w:r>
      <w:r w:rsidRPr="0016508E">
        <w:rPr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</w:t>
      </w:r>
      <w:r w:rsidR="00EF574B">
        <w:rPr>
          <w:bCs/>
          <w:sz w:val="28"/>
          <w:szCs w:val="28"/>
          <w:shd w:val="clear" w:color="auto" w:fill="FFFFFF"/>
          <w:lang w:val="uk-UA"/>
        </w:rPr>
        <w:t xml:space="preserve">нних державних адміністрацій», </w:t>
      </w:r>
      <w:r w:rsidRPr="0016508E">
        <w:rPr>
          <w:rFonts w:eastAsia="Calibri"/>
          <w:sz w:val="28"/>
          <w:szCs w:val="28"/>
          <w:lang w:val="uk-UA"/>
        </w:rPr>
        <w:t>статтею 5 Закону України «Про співробітництво територіальних громад», статтями 7,14,16,18,30,35-1 Закону України «</w:t>
      </w:r>
      <w:r w:rsidRPr="0016508E">
        <w:rPr>
          <w:bCs/>
          <w:color w:val="333333"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здоров'я»</w:t>
      </w:r>
      <w:r w:rsidRPr="0016508E">
        <w:rPr>
          <w:sz w:val="28"/>
          <w:szCs w:val="28"/>
          <w:lang w:val="uk-UA"/>
        </w:rPr>
        <w:t xml:space="preserve">, враховуючи рекомендації постійних комісій: з питань </w:t>
      </w:r>
      <w:r w:rsidRPr="0016508E">
        <w:rPr>
          <w:bCs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співробітництва, з гуманітарних питань</w:t>
      </w:r>
      <w:r w:rsidR="00EF574B">
        <w:rPr>
          <w:bCs/>
          <w:sz w:val="28"/>
          <w:szCs w:val="28"/>
          <w:lang w:val="uk-UA"/>
        </w:rPr>
        <w:t>,</w:t>
      </w:r>
    </w:p>
    <w:p w:rsidR="00DE544C" w:rsidRPr="0016508E" w:rsidRDefault="00DE544C" w:rsidP="00EF574B">
      <w:pPr>
        <w:pStyle w:val="20"/>
        <w:shd w:val="clear" w:color="auto" w:fill="auto"/>
        <w:spacing w:before="0" w:line="240" w:lineRule="auto"/>
        <w:ind w:firstLine="709"/>
        <w:jc w:val="center"/>
        <w:rPr>
          <w:bCs/>
          <w:sz w:val="28"/>
          <w:szCs w:val="28"/>
          <w:lang w:val="uk-UA"/>
        </w:rPr>
      </w:pPr>
    </w:p>
    <w:p w:rsidR="0016508E" w:rsidRDefault="00DE544C" w:rsidP="00EF57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:rsidR="0016508E" w:rsidRDefault="0016508E" w:rsidP="00EF57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767A" w:rsidRDefault="007500DF" w:rsidP="00EF574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</w:t>
      </w:r>
      <w:r w:rsidR="00B617A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Затвердити кошторис щодо виконання</w:t>
      </w:r>
      <w:r w:rsidR="002F774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5B767A" w:rsidRPr="005B76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Договору</w:t>
      </w:r>
      <w:r w:rsidR="00CE5E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№1</w:t>
      </w:r>
      <w:r w:rsidR="005B767A" w:rsidRPr="005B76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про співробітництво</w:t>
      </w:r>
      <w:r w:rsidR="00EF5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Обухівської</w:t>
      </w:r>
      <w:r w:rsidR="005B767A" w:rsidRPr="005B7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та </w:t>
      </w:r>
      <w:proofErr w:type="spellStart"/>
      <w:r w:rsidR="005B767A" w:rsidRPr="005B767A">
        <w:rPr>
          <w:rFonts w:ascii="Times New Roman" w:hAnsi="Times New Roman" w:cs="Times New Roman"/>
          <w:bCs/>
          <w:sz w:val="28"/>
          <w:szCs w:val="28"/>
          <w:lang w:val="uk-UA"/>
        </w:rPr>
        <w:t>Козинської</w:t>
      </w:r>
      <w:proofErr w:type="spellEnd"/>
      <w:r w:rsidR="00EF57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територіальних</w:t>
      </w:r>
      <w:r w:rsidR="005B767A" w:rsidRPr="005B7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громад у галузі охорони здоров’я</w:t>
      </w:r>
      <w:r w:rsidR="005B767A" w:rsidRPr="005B76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у формі спільного фінансування (утримання)</w:t>
      </w:r>
      <w:r w:rsidR="005B767A" w:rsidRPr="005B767A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Комунального некомерційного </w:t>
      </w:r>
      <w:r w:rsidR="005B767A" w:rsidRPr="007F384C">
        <w:rPr>
          <w:rFonts w:ascii="Times New Roman" w:hAnsi="Times New Roman" w:cs="Times New Roman"/>
          <w:sz w:val="28"/>
          <w:szCs w:val="28"/>
          <w:lang w:val="uk-UA" w:eastAsia="uk-UA" w:bidi="uk-UA"/>
        </w:rPr>
        <w:t>підприємства Обухівської міської ради «Обухівська багатопрофільна лікарня інтенсивного лікування</w:t>
      </w:r>
      <w:r w:rsidR="00DC6AF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B767A" w:rsidRPr="007F3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A89">
        <w:rPr>
          <w:rFonts w:ascii="Times New Roman" w:hAnsi="Times New Roman" w:cs="Times New Roman"/>
          <w:sz w:val="28"/>
          <w:szCs w:val="28"/>
          <w:lang w:val="uk-UA" w:eastAsia="uk-UA" w:bidi="uk-UA"/>
        </w:rPr>
        <w:t>з обсягом міжбюджетних тран</w:t>
      </w:r>
      <w:r w:rsidR="0090450B">
        <w:rPr>
          <w:rFonts w:ascii="Times New Roman" w:hAnsi="Times New Roman" w:cs="Times New Roman"/>
          <w:sz w:val="28"/>
          <w:szCs w:val="28"/>
          <w:lang w:val="uk-UA" w:eastAsia="uk-UA" w:bidi="uk-UA"/>
        </w:rPr>
        <w:t>с</w:t>
      </w:r>
      <w:r w:rsidR="00BB4A89">
        <w:rPr>
          <w:rFonts w:ascii="Times New Roman" w:hAnsi="Times New Roman" w:cs="Times New Roman"/>
          <w:sz w:val="28"/>
          <w:szCs w:val="28"/>
          <w:lang w:val="uk-UA" w:eastAsia="uk-UA" w:bidi="uk-UA"/>
        </w:rPr>
        <w:t>фертів</w:t>
      </w:r>
      <w:r w:rsidR="002F774A" w:rsidRPr="002F774A">
        <w:rPr>
          <w:lang w:val="uk-UA"/>
        </w:rPr>
        <w:t xml:space="preserve"> </w:t>
      </w:r>
      <w:r w:rsidR="00FE0356">
        <w:rPr>
          <w:rFonts w:ascii="Times New Roman" w:hAnsi="Times New Roman" w:cs="Times New Roman"/>
          <w:sz w:val="28"/>
          <w:szCs w:val="28"/>
          <w:lang w:val="uk-UA" w:eastAsia="uk-UA" w:bidi="uk-UA"/>
        </w:rPr>
        <w:t>на 2024-2027 роки</w:t>
      </w:r>
      <w:r w:rsidR="002F774A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</w:t>
      </w:r>
      <w:r w:rsidR="00DE54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2F774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 2025 рік </w:t>
      </w:r>
      <w:r w:rsidR="00DE54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( </w:t>
      </w:r>
      <w:r w:rsidR="002F774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далі - Кошторис</w:t>
      </w:r>
      <w:r w:rsidR="005B767A" w:rsidRPr="007F38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що додається).</w:t>
      </w:r>
    </w:p>
    <w:p w:rsidR="00F55E2A" w:rsidRDefault="00F55E2A" w:rsidP="00EF5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F574B">
        <w:rPr>
          <w:rFonts w:ascii="Times New Roman" w:hAnsi="Times New Roman" w:cs="Times New Roman"/>
          <w:sz w:val="28"/>
          <w:szCs w:val="28"/>
          <w:lang w:val="uk-UA"/>
        </w:rPr>
        <w:t>. Визначити, що Обухівська міська рада,</w:t>
      </w:r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статті 93 Бюджетного кодексу України, приймає кошти від </w:t>
      </w:r>
      <w:proofErr w:type="spellStart"/>
      <w:r w:rsidRPr="005B767A">
        <w:rPr>
          <w:rFonts w:ascii="Times New Roman" w:hAnsi="Times New Roman" w:cs="Times New Roman"/>
          <w:sz w:val="28"/>
          <w:szCs w:val="28"/>
          <w:lang w:val="uk-UA"/>
        </w:rPr>
        <w:t>Козинської</w:t>
      </w:r>
      <w:proofErr w:type="spellEnd"/>
      <w:r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у вигляді 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 xml:space="preserve">міжбюджетного </w:t>
      </w:r>
      <w:r w:rsidR="00B617A4">
        <w:rPr>
          <w:rFonts w:ascii="Times New Roman" w:hAnsi="Times New Roman" w:cs="Times New Roman"/>
          <w:sz w:val="28"/>
          <w:szCs w:val="28"/>
          <w:lang w:val="uk-UA"/>
        </w:rPr>
        <w:t>трансферту  по КБКД 41053900 «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>Інші субвенції з місцевого бюджету».</w:t>
      </w:r>
    </w:p>
    <w:p w:rsidR="00B617A4" w:rsidRPr="00F55E2A" w:rsidRDefault="00B617A4" w:rsidP="00EF5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917">
        <w:rPr>
          <w:rFonts w:ascii="Times New Roman" w:hAnsi="Times New Roman" w:cs="Times New Roman"/>
          <w:sz w:val="28"/>
          <w:szCs w:val="28"/>
          <w:lang w:val="uk-UA"/>
        </w:rPr>
        <w:lastRenderedPageBreak/>
        <w:t>3. Фінансовому управлінню виконавчого комітету Обу</w:t>
      </w:r>
      <w:r w:rsidR="00CE5E31" w:rsidRPr="002D7917">
        <w:rPr>
          <w:rFonts w:ascii="Times New Roman" w:hAnsi="Times New Roman" w:cs="Times New Roman"/>
          <w:sz w:val="28"/>
          <w:szCs w:val="28"/>
          <w:lang w:val="uk-UA"/>
        </w:rPr>
        <w:t>хівської міської ради при складе</w:t>
      </w:r>
      <w:r w:rsidRPr="002D7917">
        <w:rPr>
          <w:rFonts w:ascii="Times New Roman" w:hAnsi="Times New Roman" w:cs="Times New Roman"/>
          <w:sz w:val="28"/>
          <w:szCs w:val="28"/>
          <w:lang w:val="uk-UA"/>
        </w:rPr>
        <w:t xml:space="preserve">нні та виконанні </w:t>
      </w:r>
      <w:r w:rsidR="005248B2" w:rsidRPr="002D7917">
        <w:rPr>
          <w:rFonts w:ascii="Times New Roman" w:hAnsi="Times New Roman" w:cs="Times New Roman"/>
          <w:sz w:val="28"/>
          <w:szCs w:val="28"/>
          <w:lang w:val="uk-UA"/>
        </w:rPr>
        <w:t xml:space="preserve">бюджету Обухівської міської територіальної громади </w:t>
      </w:r>
      <w:r w:rsidRPr="002D7917">
        <w:rPr>
          <w:rFonts w:ascii="Times New Roman" w:hAnsi="Times New Roman" w:cs="Times New Roman"/>
          <w:sz w:val="28"/>
          <w:szCs w:val="28"/>
          <w:lang w:val="uk-UA"/>
        </w:rPr>
        <w:t xml:space="preserve"> враховувати кошти іншої субвенції </w:t>
      </w:r>
      <w:proofErr w:type="spellStart"/>
      <w:r w:rsidRPr="002D7917">
        <w:rPr>
          <w:rFonts w:ascii="Times New Roman" w:hAnsi="Times New Roman" w:cs="Times New Roman"/>
          <w:sz w:val="28"/>
          <w:szCs w:val="28"/>
          <w:lang w:val="uk-UA"/>
        </w:rPr>
        <w:t>Козинської</w:t>
      </w:r>
      <w:proofErr w:type="spellEnd"/>
      <w:r w:rsidRPr="002D791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2025 рік в установленому порядку.</w:t>
      </w:r>
    </w:p>
    <w:p w:rsidR="0090450B" w:rsidRPr="0016508E" w:rsidRDefault="0090450B" w:rsidP="00EF5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Сектору з питань охорони здоров</w:t>
      </w:r>
      <w:r w:rsidRPr="0016508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виконавчого комітету Обухівської міської ради забезпечити взаємодію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Козинською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</w:t>
      </w:r>
      <w:r w:rsidR="00B617A4">
        <w:rPr>
          <w:rFonts w:ascii="Times New Roman" w:hAnsi="Times New Roman" w:cs="Times New Roman"/>
          <w:sz w:val="28"/>
          <w:szCs w:val="28"/>
          <w:lang w:val="uk-UA"/>
        </w:rPr>
        <w:t>ою радою щодо виконання кошторису, що затверджений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цим рішенням, а також звітування та подання інформації в установленому порядку.</w:t>
      </w:r>
    </w:p>
    <w:p w:rsidR="005B767A" w:rsidRPr="005B767A" w:rsidRDefault="0090450B" w:rsidP="00EF57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B767A" w:rsidRPr="005B76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B767A" w:rsidRPr="005B767A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:rsidR="00F55E2A" w:rsidRDefault="00F55E2A" w:rsidP="00EF57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574B" w:rsidRPr="0016508E" w:rsidRDefault="00EF574B" w:rsidP="00EF57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767A" w:rsidRPr="005B767A" w:rsidRDefault="005B767A" w:rsidP="005B76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Обухівської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767A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B767A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Pr="005B767A">
        <w:rPr>
          <w:rFonts w:ascii="Times New Roman" w:hAnsi="Times New Roman" w:cs="Times New Roman"/>
          <w:b/>
          <w:sz w:val="28"/>
          <w:szCs w:val="28"/>
        </w:rPr>
        <w:tab/>
      </w:r>
      <w:r w:rsidRPr="005B767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5B7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EF57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5B7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5B767A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F55E2A" w:rsidRDefault="00F55E2A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55E2A" w:rsidRDefault="00F55E2A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F574B" w:rsidRDefault="00EF574B" w:rsidP="005B767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B767A" w:rsidRDefault="005B767A" w:rsidP="005B767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B767A"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:rsidR="001267CD" w:rsidRPr="001267CD" w:rsidRDefault="00CE5E31" w:rsidP="00C01BF2">
      <w:pPr>
        <w:tabs>
          <w:tab w:val="left" w:pos="6663"/>
        </w:tabs>
        <w:spacing w:after="0" w:line="240" w:lineRule="atLeast"/>
        <w:ind w:left="48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lastRenderedPageBreak/>
        <w:t>Додаток до</w:t>
      </w:r>
    </w:p>
    <w:p w:rsidR="002F774A" w:rsidRDefault="00CE5E31" w:rsidP="00C01BF2">
      <w:pPr>
        <w:tabs>
          <w:tab w:val="left" w:pos="6663"/>
        </w:tabs>
        <w:spacing w:after="0" w:line="240" w:lineRule="atLeast"/>
        <w:ind w:left="48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рішення</w:t>
      </w:r>
      <w:r w:rsidR="002F774A" w:rsidRPr="002F77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Обухівської</w:t>
      </w:r>
      <w:r w:rsidR="002F77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C01BF2" w:rsidRPr="00C01BF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міської ради</w:t>
      </w:r>
      <w:r w:rsidR="002F77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                                    </w:t>
      </w:r>
    </w:p>
    <w:p w:rsidR="001267CD" w:rsidRDefault="002F774A" w:rsidP="00CE5E31">
      <w:pPr>
        <w:spacing w:after="0" w:line="240" w:lineRule="auto"/>
        <w:ind w:right="-1" w:hanging="142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</w:t>
      </w:r>
      <w:r w:rsidR="00CE5E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A8270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</w:t>
      </w:r>
      <w:r w:rsidR="00CE5E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в</w:t>
      </w:r>
      <w:r w:rsidR="00EF57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ід 20</w:t>
      </w:r>
      <w:r w:rsidR="00A8270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.12.2024 № </w:t>
      </w:r>
      <w:r w:rsidR="00EF574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1510</w:t>
      </w:r>
      <w:r w:rsidR="00A8270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-67</w:t>
      </w:r>
      <w:r w:rsidRPr="002F774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C01BF2" w:rsidRPr="00C01BF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VIII</w:t>
      </w:r>
    </w:p>
    <w:p w:rsidR="00CE5E31" w:rsidRPr="001267CD" w:rsidRDefault="00CE5E31" w:rsidP="00CE5E31">
      <w:pPr>
        <w:spacing w:after="0" w:line="240" w:lineRule="auto"/>
        <w:ind w:right="-1" w:hanging="142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CE5E31" w:rsidRDefault="00CE5E31" w:rsidP="00CE5E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5E31" w:rsidRDefault="00CE5E31" w:rsidP="00CE5E3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Кошторис </w:t>
      </w:r>
    </w:p>
    <w:p w:rsidR="00CE5E31" w:rsidRDefault="00CE5E31" w:rsidP="00CE5E3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щодо виконання</w:t>
      </w:r>
      <w:r w:rsidR="001267CD" w:rsidRPr="00126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 №1 п</w:t>
      </w:r>
      <w:r w:rsidRPr="00126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співробітництво Обухівської міської та </w:t>
      </w:r>
      <w:proofErr w:type="spellStart"/>
      <w:r w:rsidRPr="00126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Козинської</w:t>
      </w:r>
      <w:proofErr w:type="spellEnd"/>
      <w:r w:rsidRPr="001267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територіальних громад у галузі охорони здоров’я у формі спільного фінансування (утримання) Комунального некомерційного підприємства Обухівської міської ради </w:t>
      </w:r>
      <w:r w:rsidRPr="001267CD">
        <w:rPr>
          <w:rFonts w:ascii="Times New Roman" w:eastAsia="Calibri" w:hAnsi="Times New Roman" w:cs="Times New Roman"/>
          <w:sz w:val="28"/>
          <w:szCs w:val="28"/>
          <w:lang w:val="uk-UA" w:eastAsia="uk-UA" w:bidi="uk-UA"/>
        </w:rPr>
        <w:t>«</w:t>
      </w:r>
      <w:r w:rsidRPr="001267CD">
        <w:rPr>
          <w:rFonts w:ascii="Times New Roman" w:eastAsia="Calibri" w:hAnsi="Times New Roman" w:cs="Times New Roman"/>
          <w:sz w:val="28"/>
          <w:szCs w:val="28"/>
          <w:lang w:val="uk-UA"/>
        </w:rPr>
        <w:t>Обухівська багатопрофільна лікарня інтенсивного лікування» з обсягом міжбюджетних трансф</w:t>
      </w:r>
      <w:r w:rsidR="00EF57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ертів на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2024- 2027 роки на 2025 рік</w:t>
      </w:r>
    </w:p>
    <w:p w:rsidR="001267CD" w:rsidRPr="001267CD" w:rsidRDefault="001267CD" w:rsidP="001267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zh-CN"/>
        </w:rPr>
      </w:pPr>
    </w:p>
    <w:tbl>
      <w:tblPr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3"/>
        <w:gridCol w:w="6520"/>
        <w:gridCol w:w="2835"/>
      </w:tblGrid>
      <w:tr w:rsidR="0048343F" w:rsidRPr="001267CD" w:rsidTr="00277B8B">
        <w:trPr>
          <w:trHeight w:val="919"/>
        </w:trPr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overflowPunct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Перелік видатків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343F" w:rsidRPr="001267CD" w:rsidRDefault="0048343F" w:rsidP="00126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Обсяг фінансування на 2025 рік, тис. грн. </w:t>
            </w:r>
          </w:p>
        </w:tc>
      </w:tr>
      <w:tr w:rsidR="0048343F" w:rsidRPr="001267CD" w:rsidTr="00277B8B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виплата стимулюючих та заохочувальних виплат з нарахуваннями на оплату праці працівникам установ, що знаходяться на території та обслуговують населення </w:t>
            </w:r>
            <w:proofErr w:type="spellStart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Козинської</w:t>
            </w:r>
            <w:proofErr w:type="spellEnd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селищної територіальної громади (в тому числі стимулюючі виплати з нарахуваннями на оплату праці адміністративно-управлінському та фінансово-господарському відділам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43F" w:rsidRPr="001267CD" w:rsidRDefault="00546F8B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2593,6</w:t>
            </w:r>
          </w:p>
        </w:tc>
      </w:tr>
      <w:tr w:rsidR="0048343F" w:rsidRPr="001267CD" w:rsidTr="00277B8B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придбання предметів, матеріалів, обладнання та інвентарю для медичних установ, що знаходяться на території </w:t>
            </w:r>
            <w:proofErr w:type="spellStart"/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Козинської</w:t>
            </w:r>
            <w:proofErr w:type="spellEnd"/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 селищної територіальної громади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43F" w:rsidRPr="001267CD" w:rsidRDefault="00546F8B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199,6</w:t>
            </w:r>
          </w:p>
        </w:tc>
      </w:tr>
      <w:tr w:rsidR="0048343F" w:rsidRPr="001267CD" w:rsidTr="00277B8B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придбання медикаментів та перев’язувальних матеріалів для установ</w:t>
            </w: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що знаходяться на території </w:t>
            </w:r>
            <w:proofErr w:type="spellStart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Козинської</w:t>
            </w:r>
            <w:proofErr w:type="spellEnd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селищної територіальної громади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43F" w:rsidRPr="001267CD" w:rsidRDefault="00546F8B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500,7</w:t>
            </w:r>
          </w:p>
        </w:tc>
      </w:tr>
      <w:tr w:rsidR="0048343F" w:rsidRPr="001267CD" w:rsidTr="00277B8B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оплата послуг (крім комунальних) – поточний ремонт, технічне обслуговування та послуги                  </w:t>
            </w:r>
            <w:proofErr w:type="spellStart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шиномонтажу</w:t>
            </w:r>
            <w:proofErr w:type="spellEnd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автомобілів, технічний огляд та обслуговування системи газопостачання, повірка лічильників газу, перевірка сигналізаторів загазованості, перевірка вентиляційних та димових каналів, перевірка заземлення та блискавкозахисту для потреб установ, що знаходяться на території </w:t>
            </w:r>
            <w:proofErr w:type="spellStart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Козинської</w:t>
            </w:r>
            <w:proofErr w:type="spellEnd"/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селищної територіальної громади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43F" w:rsidRPr="001267CD" w:rsidRDefault="00546F8B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43,4</w:t>
            </w:r>
          </w:p>
        </w:tc>
      </w:tr>
      <w:tr w:rsidR="0048343F" w:rsidRPr="001267CD" w:rsidTr="00277B8B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оплата комунальних послуг для установ,</w:t>
            </w: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що знаходяться на території</w:t>
            </w:r>
            <w:r w:rsidRPr="00126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Козинської</w:t>
            </w:r>
            <w:proofErr w:type="spellEnd"/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 селищної територіальної громади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43F" w:rsidRPr="001267CD" w:rsidRDefault="00546F8B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774,3</w:t>
            </w:r>
          </w:p>
        </w:tc>
      </w:tr>
      <w:tr w:rsidR="0048343F" w:rsidRPr="001267CD" w:rsidTr="00277B8B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43F" w:rsidRPr="001267CD" w:rsidRDefault="0048343F" w:rsidP="001267CD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забезпечення відшкодування витрат на безоплатний відпуск наркотичних та психотропних препаратів, лікарських засобів для надання паліативної допомоги важкохворим пацієнтам для лікування больового синдрому, неврологічним та психіатричним хворим </w:t>
            </w:r>
            <w:proofErr w:type="spellStart"/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>Козинської</w:t>
            </w:r>
            <w:proofErr w:type="spellEnd"/>
            <w:r w:rsidRPr="00126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 селищної територіальної громади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43F" w:rsidRPr="001267CD" w:rsidRDefault="00546F8B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48,4</w:t>
            </w:r>
          </w:p>
        </w:tc>
      </w:tr>
      <w:tr w:rsidR="0048343F" w:rsidRPr="001267CD" w:rsidTr="00277B8B"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43F" w:rsidRPr="001267CD" w:rsidRDefault="0048343F" w:rsidP="001267CD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43F" w:rsidRPr="001267CD" w:rsidRDefault="0048343F" w:rsidP="001267CD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Всього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43F" w:rsidRPr="001267CD" w:rsidRDefault="0048343F" w:rsidP="001267CD">
            <w:pPr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126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4 160,0</w:t>
            </w:r>
          </w:p>
        </w:tc>
      </w:tr>
    </w:tbl>
    <w:p w:rsidR="001267CD" w:rsidRPr="001267CD" w:rsidRDefault="001267CD" w:rsidP="0012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67CD" w:rsidRDefault="001267CD" w:rsidP="001267C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8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Обсяг фінансування на </w:t>
      </w:r>
      <w:r w:rsidR="00500848" w:rsidRPr="00500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рік </w:t>
      </w:r>
      <w:r w:rsidRPr="00500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можливий із подальшим внесенням змін до рішення Обухівської міської ради Київської області про бюджет Обухівської міської терито</w:t>
      </w:r>
      <w:r w:rsidR="00500848" w:rsidRPr="0050084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ріальної громади на відповідний</w:t>
      </w:r>
      <w:r w:rsidR="00CE5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500848" w:rsidRPr="00500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B8B" w:rsidRDefault="00277B8B" w:rsidP="00277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F574B" w:rsidRPr="006954A6" w:rsidRDefault="00EF574B" w:rsidP="00277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7B8B" w:rsidRPr="00277B8B" w:rsidRDefault="00277B8B" w:rsidP="00126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7B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 Обухівської міської ради                                   Лариса ІЛЬЄНКО</w:t>
      </w:r>
    </w:p>
    <w:p w:rsidR="00CC3A30" w:rsidRDefault="00CC3A30" w:rsidP="00126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3A30" w:rsidRPr="00CC3A30" w:rsidRDefault="00CC3A30" w:rsidP="001267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1FBD" w:rsidRPr="00CC3A30" w:rsidRDefault="000A1FBD" w:rsidP="00667EFB">
      <w:pPr>
        <w:tabs>
          <w:tab w:val="left" w:pos="6663"/>
        </w:tabs>
        <w:spacing w:after="0" w:line="240" w:lineRule="atLeast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</w:pPr>
    </w:p>
    <w:p w:rsidR="00667EFB" w:rsidRPr="00CC3A30" w:rsidRDefault="00667EFB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</w:p>
    <w:p w:rsidR="00500848" w:rsidRPr="00CC3A30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500848" w:rsidRDefault="00500848" w:rsidP="00667EFB">
      <w:pPr>
        <w:tabs>
          <w:tab w:val="left" w:pos="6663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</w:p>
    <w:p w:rsidR="00D16C6B" w:rsidRDefault="00D16C6B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774A" w:rsidRDefault="002F774A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5E31" w:rsidRDefault="00CE5E31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5E31" w:rsidRDefault="00CE5E31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5E31" w:rsidRDefault="00CE5E31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5E31" w:rsidRDefault="00CE5E31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5E31" w:rsidRDefault="00CE5E31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3A30" w:rsidRDefault="00CC3A30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3A30" w:rsidRDefault="00CC3A30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5CD6" w:rsidRDefault="00BC5CD6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5CD6" w:rsidRDefault="00BC5CD6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5CD6" w:rsidRDefault="00BC5CD6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5CD6" w:rsidRDefault="00BC5CD6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5CD6" w:rsidRDefault="00BC5CD6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3A30" w:rsidRDefault="00CC3A30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5E31" w:rsidRDefault="00CE5E31" w:rsidP="00D16C6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D264D" w:rsidRPr="00D16C6B" w:rsidRDefault="00ED264D">
      <w:pPr>
        <w:rPr>
          <w:lang w:val="uk-UA"/>
        </w:rPr>
      </w:pPr>
      <w:bookmarkStart w:id="0" w:name="_GoBack"/>
      <w:bookmarkEnd w:id="0"/>
    </w:p>
    <w:sectPr w:rsidR="00ED264D" w:rsidRPr="00D16C6B" w:rsidSect="00EF57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45A2F"/>
    <w:multiLevelType w:val="hybridMultilevel"/>
    <w:tmpl w:val="DDCC98BC"/>
    <w:lvl w:ilvl="0" w:tplc="203AC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67E04DF0"/>
    <w:multiLevelType w:val="hybridMultilevel"/>
    <w:tmpl w:val="6218B0DC"/>
    <w:lvl w:ilvl="0" w:tplc="53542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E8"/>
    <w:rsid w:val="000A1FBD"/>
    <w:rsid w:val="001267CD"/>
    <w:rsid w:val="00164AC9"/>
    <w:rsid w:val="0016508E"/>
    <w:rsid w:val="002065AE"/>
    <w:rsid w:val="00277B8B"/>
    <w:rsid w:val="002D7917"/>
    <w:rsid w:val="002F774A"/>
    <w:rsid w:val="003C4F86"/>
    <w:rsid w:val="0048343F"/>
    <w:rsid w:val="004E1BE9"/>
    <w:rsid w:val="00500848"/>
    <w:rsid w:val="005248B2"/>
    <w:rsid w:val="00546F8B"/>
    <w:rsid w:val="005B767A"/>
    <w:rsid w:val="00640C87"/>
    <w:rsid w:val="00644C37"/>
    <w:rsid w:val="00667EFB"/>
    <w:rsid w:val="006954A6"/>
    <w:rsid w:val="007500DF"/>
    <w:rsid w:val="007F384C"/>
    <w:rsid w:val="00837B3A"/>
    <w:rsid w:val="0090450B"/>
    <w:rsid w:val="00952726"/>
    <w:rsid w:val="00A078D7"/>
    <w:rsid w:val="00A82700"/>
    <w:rsid w:val="00AE21D4"/>
    <w:rsid w:val="00B617A4"/>
    <w:rsid w:val="00B66C69"/>
    <w:rsid w:val="00BB4A89"/>
    <w:rsid w:val="00BC5CD6"/>
    <w:rsid w:val="00C01BF2"/>
    <w:rsid w:val="00CC3A30"/>
    <w:rsid w:val="00CE5E31"/>
    <w:rsid w:val="00D16C6B"/>
    <w:rsid w:val="00D446E8"/>
    <w:rsid w:val="00DC2809"/>
    <w:rsid w:val="00DC6AF6"/>
    <w:rsid w:val="00DD6989"/>
    <w:rsid w:val="00DE544C"/>
    <w:rsid w:val="00E60476"/>
    <w:rsid w:val="00EC29C9"/>
    <w:rsid w:val="00ED264D"/>
    <w:rsid w:val="00EF574B"/>
    <w:rsid w:val="00F07733"/>
    <w:rsid w:val="00F52330"/>
    <w:rsid w:val="00F55E2A"/>
    <w:rsid w:val="00FE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88B81-11C2-4267-9CD0-7CAA3F7B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F86"/>
    <w:pPr>
      <w:ind w:left="720"/>
      <w:contextualSpacing/>
    </w:pPr>
    <w:rPr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DE544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544C"/>
    <w:pPr>
      <w:widowControl w:val="0"/>
      <w:shd w:val="clear" w:color="auto" w:fill="FFFFFF"/>
      <w:spacing w:before="540" w:after="0" w:line="264" w:lineRule="exact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C2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0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0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1B0B4-F131-4168-9558-915113CE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3528</Words>
  <Characters>2012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2</cp:revision>
  <cp:lastPrinted>2024-12-17T11:42:00Z</cp:lastPrinted>
  <dcterms:created xsi:type="dcterms:W3CDTF">2024-12-23T08:04:00Z</dcterms:created>
  <dcterms:modified xsi:type="dcterms:W3CDTF">2024-12-23T08:04:00Z</dcterms:modified>
</cp:coreProperties>
</file>