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E" w:rsidRDefault="0047265E" w:rsidP="0047265E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ОБГРУНТУВАННЯ</w:t>
      </w:r>
    </w:p>
    <w:p w:rsidR="0047265E" w:rsidRDefault="0047265E" w:rsidP="0047265E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Підстава для публікації обґрунтування:</w:t>
      </w:r>
      <w:r>
        <w:rPr>
          <w:rFonts w:ascii="Times New Roman" w:hAnsi="Times New Roman" w:cs="Times New Roman"/>
          <w:lang w:val="uk-UA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 </w:t>
      </w:r>
    </w:p>
    <w:p w:rsidR="006673F4" w:rsidRPr="006673F4" w:rsidRDefault="0047265E" w:rsidP="006673F4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Мета проведення закупівлі:</w:t>
      </w:r>
      <w:r>
        <w:rPr>
          <w:rFonts w:ascii="Times New Roman" w:hAnsi="Times New Roman" w:cs="Times New Roman"/>
          <w:lang w:val="uk-UA"/>
        </w:rPr>
        <w:t xml:space="preserve">  охорона  адміністративних будівель виконавчого комітету Обухівської міської ради Київської області. </w:t>
      </w:r>
      <w:r w:rsidR="006673F4" w:rsidRPr="006673F4">
        <w:rPr>
          <w:rFonts w:ascii="Times New Roman" w:hAnsi="Times New Roman"/>
          <w:lang w:val="uk-UA"/>
        </w:rPr>
        <w:t xml:space="preserve">Проведення комплексу організаційно-технічних заходів (обладнання та технічне обслуговування засобів тривожної сигналізації (кнопки тривожного виклику) з метою обов’язкового здійснення негайного виїзду групи реагування охорони на кожний із об’єктів  Замовника при здійсненні протиправних дій на </w:t>
      </w:r>
      <w:proofErr w:type="spellStart"/>
      <w:r w:rsidR="006673F4" w:rsidRPr="006673F4">
        <w:rPr>
          <w:rFonts w:ascii="Times New Roman" w:hAnsi="Times New Roman"/>
          <w:lang w:val="uk-UA"/>
        </w:rPr>
        <w:t>обєкті</w:t>
      </w:r>
      <w:proofErr w:type="spellEnd"/>
      <w:r w:rsidR="006673F4" w:rsidRPr="006673F4">
        <w:rPr>
          <w:rFonts w:ascii="Times New Roman" w:hAnsi="Times New Roman"/>
          <w:lang w:val="uk-UA"/>
        </w:rPr>
        <w:t xml:space="preserve"> Замовника;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Замовник:</w:t>
      </w:r>
      <w:r>
        <w:rPr>
          <w:rFonts w:ascii="Times New Roman" w:hAnsi="Times New Roman" w:cs="Times New Roman"/>
          <w:lang w:val="uk-UA"/>
        </w:rPr>
        <w:t xml:space="preserve"> Виконавчий комітет Обухівської міської ради.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Код ЄДРПОУ: 04362680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 </w:t>
      </w:r>
      <w:r>
        <w:rPr>
          <w:rFonts w:ascii="Times New Roman" w:hAnsi="Times New Roman" w:cs="Times New Roman"/>
          <w:lang w:val="uk-UA"/>
        </w:rPr>
        <w:tab/>
        <w:t xml:space="preserve">       Вид процедури: відкриті торги.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 </w:t>
      </w:r>
      <w:r>
        <w:rPr>
          <w:rFonts w:ascii="Times New Roman" w:hAnsi="Times New Roman" w:cs="Times New Roman"/>
          <w:lang w:val="uk-UA"/>
        </w:rPr>
        <w:tab/>
        <w:t xml:space="preserve">       Ідентифікатор закупівлі: </w:t>
      </w:r>
      <w:r w:rsidR="009F687E" w:rsidRPr="009F687E">
        <w:rPr>
          <w:rFonts w:ascii="Times New Roman" w:hAnsi="Times New Roman" w:cs="Times New Roman"/>
          <w:lang w:val="en-US"/>
        </w:rPr>
        <w:t>UA</w:t>
      </w:r>
      <w:r w:rsidR="009F687E" w:rsidRPr="009F687E">
        <w:rPr>
          <w:rFonts w:ascii="Times New Roman" w:hAnsi="Times New Roman" w:cs="Times New Roman"/>
          <w:lang w:val="uk-UA"/>
        </w:rPr>
        <w:t>-2021-06-07-002608-</w:t>
      </w:r>
      <w:r w:rsidR="009F687E" w:rsidRPr="009F687E">
        <w:rPr>
          <w:rFonts w:ascii="Times New Roman" w:hAnsi="Times New Roman" w:cs="Times New Roman"/>
          <w:lang w:val="en-US"/>
        </w:rPr>
        <w:t>a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Предмет закупівлі:</w:t>
      </w:r>
      <w:r>
        <w:rPr>
          <w:rFonts w:ascii="Times New Roman" w:hAnsi="Times New Roman" w:cs="Times New Roman"/>
          <w:lang w:val="uk-UA"/>
        </w:rPr>
        <w:t xml:space="preserve"> код </w:t>
      </w:r>
      <w:proofErr w:type="spellStart"/>
      <w:r>
        <w:rPr>
          <w:rFonts w:ascii="Times New Roman" w:hAnsi="Times New Roman" w:cs="Times New Roman"/>
          <w:lang w:val="uk-UA"/>
        </w:rPr>
        <w:t>ДК</w:t>
      </w:r>
      <w:proofErr w:type="spellEnd"/>
      <w:r>
        <w:rPr>
          <w:rFonts w:ascii="Times New Roman" w:hAnsi="Times New Roman" w:cs="Times New Roman"/>
          <w:lang w:val="uk-UA"/>
        </w:rPr>
        <w:t xml:space="preserve"> Єдиний закупівельний словник 021:2015 79710000-4 Охоронні послуги (Охорона приміщень </w:t>
      </w:r>
      <w:proofErr w:type="spellStart"/>
      <w:r>
        <w:rPr>
          <w:rFonts w:ascii="Times New Roman" w:hAnsi="Times New Roman" w:cs="Times New Roman"/>
          <w:lang w:val="uk-UA"/>
        </w:rPr>
        <w:t>адмінприміщення</w:t>
      </w:r>
      <w:proofErr w:type="spellEnd"/>
      <w:r>
        <w:rPr>
          <w:rFonts w:ascii="Times New Roman" w:hAnsi="Times New Roman" w:cs="Times New Roman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lang w:val="uk-UA"/>
        </w:rPr>
        <w:t>вул.Київська</w:t>
      </w:r>
      <w:proofErr w:type="spellEnd"/>
      <w:r>
        <w:rPr>
          <w:rFonts w:ascii="Times New Roman" w:hAnsi="Times New Roman" w:cs="Times New Roman"/>
          <w:lang w:val="uk-UA"/>
        </w:rPr>
        <w:t>,10).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lang w:val="uk-UA"/>
        </w:rPr>
        <w:t xml:space="preserve">  </w:t>
      </w:r>
      <w:r w:rsidR="001574B8">
        <w:rPr>
          <w:rFonts w:ascii="Times New Roman" w:hAnsi="Times New Roman" w:cs="Times New Roman"/>
          <w:lang w:val="uk-UA"/>
        </w:rPr>
        <w:t>371</w:t>
      </w:r>
      <w:r>
        <w:rPr>
          <w:rFonts w:ascii="Times New Roman" w:hAnsi="Times New Roman" w:cs="Times New Roman"/>
          <w:lang w:val="uk-UA"/>
        </w:rPr>
        <w:t xml:space="preserve"> </w:t>
      </w:r>
      <w:r w:rsidR="001574B8">
        <w:rPr>
          <w:rFonts w:ascii="Times New Roman" w:hAnsi="Times New Roman" w:cs="Times New Roman"/>
          <w:lang w:val="uk-UA"/>
        </w:rPr>
        <w:t>736</w:t>
      </w:r>
      <w:r>
        <w:rPr>
          <w:rFonts w:ascii="Times New Roman" w:hAnsi="Times New Roman" w:cs="Times New Roman"/>
          <w:lang w:val="uk-UA"/>
        </w:rPr>
        <w:t>.00 (</w:t>
      </w:r>
      <w:r w:rsidR="001574B8">
        <w:rPr>
          <w:rFonts w:ascii="Times New Roman" w:hAnsi="Times New Roman" w:cs="Times New Roman"/>
          <w:lang w:val="uk-UA"/>
        </w:rPr>
        <w:t>триста сімдесят</w:t>
      </w:r>
      <w:r>
        <w:rPr>
          <w:rFonts w:ascii="Times New Roman" w:hAnsi="Times New Roman" w:cs="Times New Roman"/>
          <w:lang w:val="uk-UA"/>
        </w:rPr>
        <w:t xml:space="preserve"> </w:t>
      </w:r>
      <w:r w:rsidR="001574B8">
        <w:rPr>
          <w:rFonts w:ascii="Times New Roman" w:hAnsi="Times New Roman" w:cs="Times New Roman"/>
          <w:lang w:val="uk-UA"/>
        </w:rPr>
        <w:t>одна</w:t>
      </w:r>
      <w:r>
        <w:rPr>
          <w:rFonts w:ascii="Times New Roman" w:hAnsi="Times New Roman" w:cs="Times New Roman"/>
          <w:lang w:val="uk-UA"/>
        </w:rPr>
        <w:t xml:space="preserve">  тисяч</w:t>
      </w:r>
      <w:r w:rsidR="001574B8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</w:t>
      </w:r>
      <w:r w:rsidR="001574B8">
        <w:rPr>
          <w:rFonts w:ascii="Times New Roman" w:hAnsi="Times New Roman" w:cs="Times New Roman"/>
          <w:lang w:val="uk-UA"/>
        </w:rPr>
        <w:t>сімсот тридцять шість</w:t>
      </w:r>
      <w:r>
        <w:rPr>
          <w:rFonts w:ascii="Times New Roman" w:hAnsi="Times New Roman" w:cs="Times New Roman"/>
          <w:lang w:val="uk-UA"/>
        </w:rPr>
        <w:t xml:space="preserve"> 00 копійок) грн. з ПДВ. </w:t>
      </w:r>
    </w:p>
    <w:p w:rsidR="0047265E" w:rsidRDefault="0047265E" w:rsidP="00472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265E" w:rsidRDefault="0047265E" w:rsidP="004726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чергування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цілодобово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265E" w:rsidRDefault="0047265E" w:rsidP="004726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охоронників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перебувають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'єкті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нештатної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ситуації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охоронників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збільшена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вимогою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орієнтовно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 2</w:t>
      </w:r>
      <w:r w:rsidR="006E5F59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л/год).</w:t>
      </w:r>
    </w:p>
    <w:p w:rsidR="0047265E" w:rsidRDefault="0047265E" w:rsidP="004726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адміністративна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будівля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809 кв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прилегла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територія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—   3265кв.м., гараж -194,4 кв.м..</w:t>
      </w:r>
    </w:p>
    <w:p w:rsidR="0047265E" w:rsidRDefault="0047265E" w:rsidP="0047265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Строк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протяг</w:t>
      </w:r>
      <w:r w:rsidR="009E70DC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9E7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 року: </w:t>
      </w:r>
      <w:proofErr w:type="spellStart"/>
      <w:r w:rsidR="009E70DC">
        <w:rPr>
          <w:rFonts w:ascii="Times New Roman" w:hAnsi="Times New Roman" w:cs="Times New Roman"/>
          <w:bCs/>
          <w:color w:val="000000"/>
          <w:sz w:val="24"/>
          <w:szCs w:val="24"/>
        </w:rPr>
        <w:t>орієнтовно</w:t>
      </w:r>
      <w:proofErr w:type="spellEnd"/>
      <w:r w:rsidR="009E7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70DC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="009E7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01.0</w:t>
      </w:r>
      <w:r w:rsidR="009E70D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.2021–31.12.2021 (у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укладання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договору). </w:t>
      </w:r>
    </w:p>
    <w:p w:rsidR="0047265E" w:rsidRDefault="0047265E" w:rsidP="0047265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виїздів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швидкого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реагування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орієнтовно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 - 1</w:t>
      </w:r>
      <w:r w:rsidR="006E5F5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73F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6673F4" w:rsidRPr="00A07FEA" w:rsidRDefault="006673F4" w:rsidP="004726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7F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Виконавець повинен  провести комплекс </w:t>
      </w:r>
      <w:r w:rsidRPr="00A07FEA">
        <w:rPr>
          <w:rFonts w:ascii="Times New Roman" w:hAnsi="Times New Roman"/>
          <w:sz w:val="24"/>
          <w:szCs w:val="24"/>
          <w:lang w:val="uk-UA"/>
        </w:rPr>
        <w:t xml:space="preserve"> організаційно-технічних заходів (</w:t>
      </w:r>
      <w:r w:rsidR="00A07FEA" w:rsidRPr="00A07FEA">
        <w:rPr>
          <w:rFonts w:ascii="Times New Roman" w:hAnsi="Times New Roman"/>
          <w:sz w:val="24"/>
          <w:szCs w:val="24"/>
          <w:lang w:val="uk-UA"/>
        </w:rPr>
        <w:t xml:space="preserve">встановлення </w:t>
      </w:r>
      <w:r w:rsidRPr="00A07FEA">
        <w:rPr>
          <w:rFonts w:ascii="Times New Roman" w:hAnsi="Times New Roman"/>
          <w:sz w:val="24"/>
          <w:szCs w:val="24"/>
          <w:lang w:val="uk-UA"/>
        </w:rPr>
        <w:t>обладнання та технічне обслуговування засобів тривожної сигналізації (кнопки тривожного виклику</w:t>
      </w:r>
      <w:r w:rsidR="00A07FEA" w:rsidRPr="00A07FEA">
        <w:rPr>
          <w:rFonts w:ascii="Times New Roman" w:hAnsi="Times New Roman"/>
          <w:sz w:val="24"/>
          <w:szCs w:val="24"/>
          <w:lang w:val="uk-UA"/>
        </w:rPr>
        <w:t xml:space="preserve"> та брилок</w:t>
      </w:r>
      <w:r w:rsidRPr="00A07FEA">
        <w:rPr>
          <w:rFonts w:ascii="Times New Roman" w:hAnsi="Times New Roman"/>
          <w:sz w:val="24"/>
          <w:szCs w:val="24"/>
          <w:lang w:val="uk-UA"/>
        </w:rPr>
        <w:t>) з метою обов’язкового здійснення негайного виїзду групи реагування охорони на кожний із об’єктів  Замовника</w:t>
      </w:r>
      <w:r w:rsidR="00A07FEA" w:rsidRPr="00A07FEA">
        <w:rPr>
          <w:rFonts w:ascii="Times New Roman" w:hAnsi="Times New Roman"/>
          <w:sz w:val="24"/>
          <w:szCs w:val="24"/>
          <w:lang w:val="uk-UA"/>
        </w:rPr>
        <w:t>.</w:t>
      </w:r>
    </w:p>
    <w:p w:rsidR="0047265E" w:rsidRPr="006673F4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73F4">
        <w:rPr>
          <w:rFonts w:ascii="Times New Roman" w:hAnsi="Times New Roman" w:cs="Times New Roman"/>
          <w:sz w:val="24"/>
          <w:szCs w:val="24"/>
          <w:lang w:val="uk-UA"/>
        </w:rPr>
        <w:t>1. Виконавець повинен мати:</w:t>
      </w:r>
    </w:p>
    <w:p w:rsidR="0047265E" w:rsidRDefault="0047265E" w:rsidP="0047265E">
      <w:pPr>
        <w:widowControl w:val="0"/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за  7-10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6E5F59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(орієнтовно) додатково 200 л/год.)</w:t>
      </w:r>
      <w:r w:rsidR="00B01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3.Контролювати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контролю доступу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виявлення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причин. При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негайно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повідомити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керівництво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часу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ізіше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5.При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виявленні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процесі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чергування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несанкційованого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доступу до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об’єкту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працівник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негайно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вживати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дозволені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чинним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заходи для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усунення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порушення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 шляхом не допуску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сторонніх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видалення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», а в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викликає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групу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швидкого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реагування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яка повинна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прибути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часу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ізніше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7-10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. та/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внутрішніх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справ для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припинення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протиправних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дій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повідомляє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керівництво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". </w:t>
      </w:r>
    </w:p>
    <w:p w:rsidR="0047265E" w:rsidRDefault="0047265E" w:rsidP="0047265E">
      <w:pPr>
        <w:widowControl w:val="0"/>
        <w:tabs>
          <w:tab w:val="left" w:pos="1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6."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виконувати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пожежної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режимні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7."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відповідальність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матеріальні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цінності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надаються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йому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", 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ті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матеріальні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цінності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передаються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йому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охорону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встановленому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порядку 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8.Забезпечити у межах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доступу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9.Здійснювати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пропускний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яке передано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прибудинкової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Обухівської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врахована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врахованими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понесені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охоронців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ЗС, МВС, СБУ,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фірмах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знати:</w:t>
      </w:r>
    </w:p>
    <w:p w:rsidR="0047265E" w:rsidRDefault="0047265E" w:rsidP="0047265E">
      <w:pPr>
        <w:widowControl w:val="0"/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(установи),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установи;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розмежування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доступу;</w:t>
      </w:r>
    </w:p>
    <w:p w:rsidR="0047265E" w:rsidRDefault="0047265E" w:rsidP="0047265E">
      <w:pPr>
        <w:widowControl w:val="0"/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ідомчу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>ємницю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конфіденційний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47265E" w:rsidRDefault="0047265E" w:rsidP="0047265E">
      <w:pPr>
        <w:widowControl w:val="0"/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265E" w:rsidRDefault="0047265E" w:rsidP="0047265E">
      <w:pPr>
        <w:widowControl w:val="0"/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265E" w:rsidRDefault="0047265E" w:rsidP="0047265E">
      <w:pPr>
        <w:widowControl w:val="0"/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екстримальних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охоронця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перевіряти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ідентифікувати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проходять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прим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іщення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та на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територію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вимагати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клієнті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Обухівської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дотримання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пропускного режиму та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режимних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правил,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встановлених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затримувати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переміщення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матеріальних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цінностей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до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вияснення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дозволу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керівництва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» на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переміщення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винос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контрольно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пропускних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пунктах.</w:t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зачиняти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вимикати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прибуттям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супроводження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контейнера,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впевнитись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відвантажені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ворота.</w:t>
      </w:r>
    </w:p>
    <w:p w:rsidR="0047265E" w:rsidRDefault="0047265E" w:rsidP="0047265E">
      <w:pPr>
        <w:widowControl w:val="0"/>
        <w:tabs>
          <w:tab w:val="left" w:pos="1138"/>
          <w:tab w:val="left" w:pos="2891"/>
          <w:tab w:val="left" w:pos="8221"/>
        </w:tabs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65E" w:rsidRDefault="0047265E" w:rsidP="0047265E">
      <w:pPr>
        <w:widowControl w:val="0"/>
        <w:tabs>
          <w:tab w:val="left" w:pos="1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20."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конфіденційну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47265E" w:rsidRDefault="0047265E" w:rsidP="0047265E">
      <w:pPr>
        <w:widowControl w:val="0"/>
        <w:tabs>
          <w:tab w:val="left" w:pos="567"/>
          <w:tab w:val="left" w:pos="1413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21.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несправностей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сповіщати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47265E" w:rsidRDefault="0047265E" w:rsidP="0047265E">
      <w:pPr>
        <w:widowControl w:val="0"/>
        <w:tabs>
          <w:tab w:val="left" w:pos="567"/>
          <w:tab w:val="left" w:pos="1413"/>
          <w:tab w:val="left" w:pos="82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Охоронці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забезпечені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форменим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одягом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(комплект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ітнього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зимового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одягу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фото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орієнтовного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вигляду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одягу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7265E" w:rsidRDefault="0047265E" w:rsidP="0047265E">
      <w:pPr>
        <w:spacing w:after="0"/>
        <w:ind w:firstLine="28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1" w:type="dxa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814"/>
        <w:gridCol w:w="4146"/>
        <w:gridCol w:w="2182"/>
        <w:gridCol w:w="1078"/>
        <w:gridCol w:w="1761"/>
      </w:tblGrid>
      <w:tr w:rsidR="0047265E" w:rsidTr="00741D1F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265E" w:rsidRDefault="0047265E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за/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265E" w:rsidRDefault="0047265E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265E" w:rsidRDefault="0047265E">
            <w:pPr>
              <w:ind w:left="-108" w:right="-84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265E" w:rsidRDefault="0047265E">
            <w:pPr>
              <w:ind w:left="-113" w:right="-57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265E" w:rsidRDefault="0047265E">
            <w:pPr>
              <w:ind w:left="-108" w:right="-84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65E" w:rsidTr="00741D1F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265E" w:rsidRDefault="0047265E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265E" w:rsidRDefault="0047265E">
            <w:pPr>
              <w:pStyle w:val="a3"/>
              <w:tabs>
                <w:tab w:val="left" w:pos="180"/>
              </w:tabs>
              <w:spacing w:after="0" w:line="276" w:lineRule="auto"/>
              <w:ind w:firstLine="289"/>
              <w:jc w:val="both"/>
            </w:pPr>
            <w:r>
              <w:t>Адміністративна будівля Виконавчого комітету Обухівської міської ради Київської області (адмін. Приміщення -</w:t>
            </w:r>
            <w:r w:rsidR="00741D1F">
              <w:t xml:space="preserve"> </w:t>
            </w:r>
            <w:r>
              <w:t xml:space="preserve">809кв.м., гараж – 194,4 </w:t>
            </w:r>
            <w:proofErr w:type="spellStart"/>
            <w:r>
              <w:t>кв.м</w:t>
            </w:r>
            <w:proofErr w:type="spellEnd"/>
            <w:r>
              <w:t xml:space="preserve">., територія – 3265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65E" w:rsidRDefault="0047265E">
            <w:pPr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7265E" w:rsidRDefault="0047265E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</w:t>
            </w:r>
            <w:r w:rsidR="00B018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 року по 31.12.2021 року,</w:t>
            </w:r>
            <w:r w:rsidR="00B018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018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год.)</w:t>
            </w:r>
          </w:p>
          <w:p w:rsidR="0047265E" w:rsidRDefault="0047265E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65E" w:rsidRDefault="0047265E">
            <w:pPr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7265E" w:rsidRDefault="0047265E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65E" w:rsidRDefault="0047265E">
            <w:pPr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7265E" w:rsidRDefault="0047265E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65E" w:rsidRDefault="0047265E" w:rsidP="0047265E">
      <w:pPr>
        <w:ind w:firstLine="2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5E" w:rsidRDefault="0047265E" w:rsidP="0047265E">
      <w:pPr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кількісними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характеристиками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у тому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числі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відповідною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технічною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специфікацією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обов'язково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документально.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Документальним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ідтвердженням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довідка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довільній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формі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або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вигляді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 до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7265E" w:rsidRDefault="0047265E" w:rsidP="0047265E">
      <w:pPr>
        <w:ind w:left="-426" w:firstLine="425"/>
        <w:jc w:val="both"/>
        <w:rPr>
          <w:rStyle w:val="rvts0"/>
        </w:rPr>
      </w:pP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Розрахувати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01.0</w:t>
      </w:r>
      <w:r w:rsidR="00B01884">
        <w:rPr>
          <w:rStyle w:val="rvts0"/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Style w:val="rvts0"/>
          <w:rFonts w:ascii="Times New Roman" w:hAnsi="Times New Roman" w:cs="Times New Roman"/>
          <w:sz w:val="24"/>
          <w:szCs w:val="24"/>
        </w:rPr>
        <w:t xml:space="preserve">.2021р. по 31.12.2021.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положень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законів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працю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охорону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праці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Style w:val="rvts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оплата за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надані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послуги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укладання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фактично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відпрацьований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час шляхом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укладання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</w:rPr>
        <w:t xml:space="preserve"> угоди. </w:t>
      </w:r>
    </w:p>
    <w:p w:rsidR="0047265E" w:rsidRDefault="0047265E" w:rsidP="0047265E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встановлених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технічним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завданням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7265E" w:rsidRDefault="0047265E" w:rsidP="0047265E">
      <w:pPr>
        <w:widowControl w:val="0"/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документальне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транспорту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реагування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документі</w:t>
      </w:r>
      <w:proofErr w:type="gram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про право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володіння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користування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транспортними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:</w:t>
      </w:r>
    </w:p>
    <w:p w:rsidR="0047265E" w:rsidRDefault="0047265E" w:rsidP="004726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паспорті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транспорту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265E" w:rsidRDefault="0047265E" w:rsidP="00472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транспорт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належить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учаснику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ідтверджують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транспорту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оренди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оренди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охоронним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наданням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ліцензії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право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охоронним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укладено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7265E" w:rsidRDefault="0047265E" w:rsidP="0047265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документальне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пропоновані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своїми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екологічними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відповідають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установленим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технічній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специфікації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265E" w:rsidRDefault="0047265E" w:rsidP="0047265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технічній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специфікації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містяться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технічні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регламенти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термінологію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пов’язан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товарами, роботами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стандартами,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спільними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нормами,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еталонними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системами,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визнаними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стандартизації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стандартами, нормами та правилами.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ісля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кожного такого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посилання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слід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вважати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наявний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вираз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або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еквівалент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265E" w:rsidRDefault="0047265E" w:rsidP="0047265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технічна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специфікація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містить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конкретний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характеризує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продукт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послугу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певного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суб’єкта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господарювання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торгові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марки,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патенти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типи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конкретне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спосіб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посилання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обґрунтованим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ісля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кожного такого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посилання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слід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вважати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наявний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вираз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або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еквівалент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». </w:t>
      </w:r>
    </w:p>
    <w:p w:rsidR="0047265E" w:rsidRDefault="0047265E" w:rsidP="0047265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Або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еквівалент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передбача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є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технічні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параметри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та характеристики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еквіваленту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повинні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відповідати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вимогам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зазначеним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тендерній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документації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або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мати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гірші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показники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ніж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зазначені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даній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документації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/>
        </w:rPr>
        <w:t>.</w:t>
      </w:r>
    </w:p>
    <w:p w:rsidR="0047265E" w:rsidRDefault="0034416E" w:rsidP="00344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очікуваної вартості предмета закупівлі</w:t>
      </w:r>
    </w:p>
    <w:p w:rsidR="0047265E" w:rsidRPr="0034416E" w:rsidRDefault="0034416E" w:rsidP="0034416E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4416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Розрахунок орієнтовної</w:t>
      </w:r>
      <w:r w:rsidRPr="0034416E">
        <w:rPr>
          <w:rFonts w:ascii="Times New Roman" w:hAnsi="Times New Roman" w:cs="Times New Roman"/>
          <w:sz w:val="24"/>
          <w:szCs w:val="24"/>
          <w:lang w:val="uk-UA"/>
        </w:rPr>
        <w:t xml:space="preserve"> цін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4416E">
        <w:rPr>
          <w:rFonts w:ascii="Times New Roman" w:hAnsi="Times New Roman" w:cs="Times New Roman"/>
          <w:sz w:val="24"/>
          <w:szCs w:val="24"/>
          <w:lang w:val="uk-UA"/>
        </w:rPr>
        <w:t xml:space="preserve"> охоронних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включає </w:t>
      </w:r>
      <w:r w:rsidRPr="0034416E">
        <w:rPr>
          <w:rFonts w:ascii="Times New Roman" w:hAnsi="Times New Roman" w:cs="Times New Roman"/>
          <w:sz w:val="24"/>
          <w:szCs w:val="24"/>
          <w:lang w:val="uk-UA"/>
        </w:rPr>
        <w:t>витрат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4416E">
        <w:rPr>
          <w:rFonts w:ascii="Times New Roman" w:hAnsi="Times New Roman" w:cs="Times New Roman"/>
          <w:sz w:val="24"/>
          <w:szCs w:val="24"/>
          <w:lang w:val="uk-UA"/>
        </w:rPr>
        <w:t>, податк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4416E">
        <w:rPr>
          <w:rFonts w:ascii="Times New Roman" w:hAnsi="Times New Roman" w:cs="Times New Roman"/>
          <w:sz w:val="24"/>
          <w:szCs w:val="24"/>
          <w:lang w:val="uk-UA"/>
        </w:rPr>
        <w:t xml:space="preserve"> і збор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4416E">
        <w:rPr>
          <w:rFonts w:ascii="Times New Roman" w:hAnsi="Times New Roman" w:cs="Times New Roman"/>
          <w:sz w:val="24"/>
          <w:szCs w:val="24"/>
          <w:lang w:val="uk-UA"/>
        </w:rPr>
        <w:t xml:space="preserve">, що сплачуються або мають бути сплачені. До розрахунку ціни входять усі види послуг, спрямованих на забезпечення охорони адміністративної будівлі та прибудинкової території </w:t>
      </w:r>
      <w:r w:rsidRPr="0034416E">
        <w:rPr>
          <w:rFonts w:ascii="Times New Roman" w:hAnsi="Times New Roman" w:cs="Times New Roman"/>
          <w:sz w:val="24"/>
          <w:szCs w:val="24"/>
          <w:lang w:val="uk-UA" w:eastAsia="uk-UA"/>
        </w:rPr>
        <w:t>Виконавчого комітету Обухівської міської ради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D5E90">
        <w:rPr>
          <w:rFonts w:ascii="Times New Roman" w:hAnsi="Times New Roman" w:cs="Times New Roman"/>
          <w:sz w:val="24"/>
          <w:szCs w:val="24"/>
          <w:lang w:val="uk-UA"/>
        </w:rPr>
        <w:t xml:space="preserve"> заробітна плата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 роботи 01.07.2021-31.12.2021</w:t>
      </w:r>
      <w:r w:rsidR="006D5E90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положень кодексу законів про працю України та вимог Закону України «Про охорону праці» з розрахунку мінімальної з/п з 01.07.2021- 6000,00 грн. та 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>з 01.12.2021 -</w:t>
      </w:r>
      <w:r w:rsidR="006D5E90">
        <w:rPr>
          <w:rFonts w:ascii="Times New Roman" w:hAnsi="Times New Roman" w:cs="Times New Roman"/>
          <w:sz w:val="24"/>
          <w:szCs w:val="24"/>
          <w:lang w:val="uk-UA"/>
        </w:rPr>
        <w:t>6500,00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6D5E90">
        <w:rPr>
          <w:rFonts w:ascii="Times New Roman" w:hAnsi="Times New Roman" w:cs="Times New Roman"/>
          <w:sz w:val="24"/>
          <w:szCs w:val="24"/>
          <w:lang w:val="uk-UA"/>
        </w:rPr>
        <w:t xml:space="preserve"> (норма тривалості робочого часу на 2021 рік-1994 години відповідно норма тривалості з 01.07.2021 по 31.12.2021- 1028 години, крім того додатково (орієнтовно) 200 годин на </w:t>
      </w:r>
      <w:proofErr w:type="spellStart"/>
      <w:r w:rsidR="006D5E90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="006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E90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="006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E9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6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E90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6D5E90">
        <w:rPr>
          <w:rFonts w:ascii="Times New Roman" w:hAnsi="Times New Roman" w:cs="Times New Roman"/>
          <w:sz w:val="24"/>
          <w:szCs w:val="24"/>
          <w:lang w:val="uk-UA"/>
        </w:rPr>
        <w:t>, доплата за роботу у нічний час (1028год.), святкові дні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 xml:space="preserve"> (20%), преміювання: орієнтовна сума заробітної плати складатиме </w:t>
      </w:r>
      <w:r w:rsidR="001574B8">
        <w:rPr>
          <w:rFonts w:ascii="Times New Roman" w:hAnsi="Times New Roman" w:cs="Times New Roman"/>
          <w:sz w:val="24"/>
          <w:szCs w:val="24"/>
          <w:lang w:val="uk-UA"/>
        </w:rPr>
        <w:t>199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574B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>00,00 грн.; нарахування на заробітну плату 22%- 4</w:t>
      </w:r>
      <w:r w:rsidR="001574B8">
        <w:rPr>
          <w:rFonts w:ascii="Times New Roman" w:hAnsi="Times New Roman" w:cs="Times New Roman"/>
          <w:sz w:val="24"/>
          <w:szCs w:val="24"/>
          <w:lang w:val="uk-UA"/>
        </w:rPr>
        <w:t>3 780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 xml:space="preserve">,00 грн.  Встановлення тривожної кнопки та </w:t>
      </w:r>
      <w:proofErr w:type="spellStart"/>
      <w:r w:rsidR="0025160A">
        <w:rPr>
          <w:rFonts w:ascii="Times New Roman" w:hAnsi="Times New Roman" w:cs="Times New Roman"/>
          <w:sz w:val="24"/>
          <w:szCs w:val="24"/>
          <w:lang w:val="uk-UA"/>
        </w:rPr>
        <w:t>їЇ</w:t>
      </w:r>
      <w:proofErr w:type="spellEnd"/>
      <w:r w:rsidR="0025160A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обслуговування, виклик групи швидкого реагування (15 разів) орієнтовно 35 000,00 грн.; адміністративні витрати, загальновиробничі, інші орієнтовно – 32 000,00</w:t>
      </w:r>
      <w:r w:rsidR="00654A8A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 xml:space="preserve"> податки (ПДВ 20%)- 6</w:t>
      </w:r>
      <w:r w:rsidR="001574B8">
        <w:rPr>
          <w:rFonts w:ascii="Times New Roman" w:hAnsi="Times New Roman" w:cs="Times New Roman"/>
          <w:sz w:val="24"/>
          <w:szCs w:val="24"/>
          <w:lang w:val="uk-UA"/>
        </w:rPr>
        <w:t>1 956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 xml:space="preserve">,00 грн. Загальна вартість послуг (орієнтовно) становитиме – </w:t>
      </w:r>
      <w:r w:rsidR="001574B8">
        <w:rPr>
          <w:rFonts w:ascii="Times New Roman" w:hAnsi="Times New Roman" w:cs="Times New Roman"/>
          <w:sz w:val="24"/>
          <w:szCs w:val="24"/>
          <w:lang w:val="uk-UA"/>
        </w:rPr>
        <w:t>371 736</w:t>
      </w:r>
      <w:r w:rsidR="0025160A">
        <w:rPr>
          <w:rFonts w:ascii="Times New Roman" w:hAnsi="Times New Roman" w:cs="Times New Roman"/>
          <w:sz w:val="24"/>
          <w:szCs w:val="24"/>
          <w:lang w:val="uk-UA"/>
        </w:rPr>
        <w:t>, 00 грн.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фінансово-господарського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виконавчого комітету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Обухівської міської ради</w:t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7265E" w:rsidRDefault="0047265E" w:rsidP="0047265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Бобкова</w:t>
      </w:r>
      <w:proofErr w:type="spellEnd"/>
    </w:p>
    <w:p w:rsidR="00A06AFC" w:rsidRDefault="00A06AFC"/>
    <w:sectPr w:rsidR="00A06AFC" w:rsidSect="00A06A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054"/>
    <w:multiLevelType w:val="hybridMultilevel"/>
    <w:tmpl w:val="4B347FEC"/>
    <w:lvl w:ilvl="0" w:tplc="C7C8B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E7F23"/>
    <w:multiLevelType w:val="hybridMultilevel"/>
    <w:tmpl w:val="71CAD24E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65E"/>
    <w:rsid w:val="001574B8"/>
    <w:rsid w:val="0025160A"/>
    <w:rsid w:val="00275C7F"/>
    <w:rsid w:val="0034416E"/>
    <w:rsid w:val="003D27EE"/>
    <w:rsid w:val="0047265E"/>
    <w:rsid w:val="00542A73"/>
    <w:rsid w:val="00654A8A"/>
    <w:rsid w:val="006673F4"/>
    <w:rsid w:val="006D5E90"/>
    <w:rsid w:val="006E5F59"/>
    <w:rsid w:val="00741D1F"/>
    <w:rsid w:val="00884472"/>
    <w:rsid w:val="008E5551"/>
    <w:rsid w:val="009E70DC"/>
    <w:rsid w:val="009F687E"/>
    <w:rsid w:val="00A06AFC"/>
    <w:rsid w:val="00A07FEA"/>
    <w:rsid w:val="00B01884"/>
    <w:rsid w:val="00C83816"/>
    <w:rsid w:val="00CB326D"/>
    <w:rsid w:val="00DA662E"/>
    <w:rsid w:val="00DE2F20"/>
    <w:rsid w:val="00E275D6"/>
    <w:rsid w:val="00E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5E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65E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47265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No Spacing"/>
    <w:uiPriority w:val="1"/>
    <w:qFormat/>
    <w:rsid w:val="0047265E"/>
    <w:pPr>
      <w:spacing w:after="0" w:line="240" w:lineRule="auto"/>
    </w:pPr>
    <w:rPr>
      <w:lang w:val="ru-RU"/>
    </w:rPr>
  </w:style>
  <w:style w:type="character" w:customStyle="1" w:styleId="rvts0">
    <w:name w:val="rvts0"/>
    <w:basedOn w:val="a0"/>
    <w:uiPriority w:val="99"/>
    <w:qFormat/>
    <w:rsid w:val="0047265E"/>
  </w:style>
  <w:style w:type="paragraph" w:styleId="a6">
    <w:name w:val="List Paragraph"/>
    <w:basedOn w:val="a"/>
    <w:uiPriority w:val="34"/>
    <w:qFormat/>
    <w:rsid w:val="0034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7405</Words>
  <Characters>4221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2021-06-04T08:31:00Z</cp:lastPrinted>
  <dcterms:created xsi:type="dcterms:W3CDTF">2021-06-04T08:34:00Z</dcterms:created>
  <dcterms:modified xsi:type="dcterms:W3CDTF">2021-06-14T08:23:00Z</dcterms:modified>
</cp:coreProperties>
</file>