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0B" w:rsidRDefault="00B65B28" w:rsidP="002F6362">
      <w:pPr>
        <w:pStyle w:val="a4"/>
        <w:jc w:val="center"/>
        <w:rPr>
          <w:b/>
          <w:szCs w:val="28"/>
        </w:rPr>
      </w:pPr>
      <w:r>
        <w:rPr>
          <w:b/>
          <w:noProof/>
          <w:sz w:val="16"/>
          <w:szCs w:val="16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.1pt;width:31.95pt;height:50.2pt;z-index:251658240">
            <v:imagedata r:id="rId4" o:title=""/>
            <w10:wrap type="topAndBottom"/>
          </v:shape>
          <o:OLEObject Type="Embed" ProgID="MS_ClipArt_Gallery" ShapeID="_x0000_s1026" DrawAspect="Content" ObjectID="_1662536993" r:id="rId5"/>
        </w:object>
      </w:r>
    </w:p>
    <w:p w:rsidR="002F6362" w:rsidRDefault="002F6362" w:rsidP="002F636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ОБУХІВСЬКА МІСЬКА РАДА</w:t>
      </w:r>
    </w:p>
    <w:p w:rsidR="002F6362" w:rsidRDefault="002F6362" w:rsidP="002F6362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2F6362" w:rsidRDefault="002F6362" w:rsidP="002F6362">
      <w:pPr>
        <w:pStyle w:val="a6"/>
        <w:rPr>
          <w:sz w:val="16"/>
          <w:szCs w:val="16"/>
          <w:lang w:val="uk-UA"/>
        </w:rPr>
      </w:pPr>
    </w:p>
    <w:p w:rsidR="002F6362" w:rsidRDefault="002F6362" w:rsidP="002F6362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Шістдесят дев’ята сесія сьомого скликання</w:t>
      </w:r>
    </w:p>
    <w:p w:rsidR="002F6362" w:rsidRDefault="002F6362" w:rsidP="002F6362">
      <w:pPr>
        <w:pStyle w:val="a3"/>
        <w:rPr>
          <w:sz w:val="16"/>
          <w:szCs w:val="16"/>
        </w:rPr>
      </w:pPr>
    </w:p>
    <w:p w:rsidR="002F6362" w:rsidRDefault="002F6362" w:rsidP="002F63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81CF1" w:rsidRDefault="00681CF1" w:rsidP="002F6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F6362" w:rsidRDefault="002F6362" w:rsidP="002F6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затвердження Порядку виконання </w:t>
      </w:r>
    </w:p>
    <w:p w:rsidR="002F6362" w:rsidRDefault="002F6362" w:rsidP="002F6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контрольних функцій у сфері оренди </w:t>
      </w:r>
    </w:p>
    <w:p w:rsidR="002F6362" w:rsidRDefault="002F6362" w:rsidP="002F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комунального майна </w:t>
      </w:r>
      <w:r>
        <w:rPr>
          <w:rFonts w:ascii="Times New Roman" w:hAnsi="Times New Roman" w:cs="Times New Roman"/>
          <w:sz w:val="28"/>
          <w:szCs w:val="28"/>
        </w:rPr>
        <w:t xml:space="preserve">Обухівської міської </w:t>
      </w:r>
    </w:p>
    <w:p w:rsidR="002F6362" w:rsidRDefault="002F6362" w:rsidP="002F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об’єднаної територіальної громади</w:t>
      </w:r>
    </w:p>
    <w:p w:rsidR="002F6362" w:rsidRDefault="002F6362" w:rsidP="002F6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F6362" w:rsidRDefault="002F6362" w:rsidP="002F63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26 Закону України «Про оренду державного та комунального майна», </w:t>
      </w:r>
      <w:r>
        <w:rPr>
          <w:rFonts w:eastAsia="Times New Roman"/>
          <w:color w:val="1C1C1C"/>
          <w:sz w:val="28"/>
          <w:szCs w:val="28"/>
          <w:lang w:eastAsia="uk-UA"/>
        </w:rPr>
        <w:t>Закону України «Про засади державної регуляторної політики у сфері господарської діяльності» із внесеними до нього змінами, </w:t>
      </w:r>
      <w:r>
        <w:rPr>
          <w:sz w:val="28"/>
          <w:szCs w:val="28"/>
          <w:lang w:eastAsia="uk-UA"/>
        </w:rPr>
        <w:t xml:space="preserve"> керуючись частиною 1 статті 59, частиною 1 статті 73 Закону України «Про місцеве самоврядування в Україні» </w:t>
      </w:r>
      <w:r>
        <w:rPr>
          <w:sz w:val="28"/>
          <w:szCs w:val="28"/>
        </w:rPr>
        <w:t xml:space="preserve">та враховуючи рекомендації постійної комісії міської ради з питань соціально - економічного розвитку, благоустрою, комунального господарства та управління комунальною власністю громади      </w:t>
      </w:r>
    </w:p>
    <w:p w:rsidR="002F6362" w:rsidRDefault="002F6362" w:rsidP="002F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62" w:rsidRDefault="002F6362" w:rsidP="002F636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ОБУХІВСЬКА МІСЬКА  РАДА </w:t>
      </w:r>
    </w:p>
    <w:p w:rsidR="002F6362" w:rsidRDefault="002F6362" w:rsidP="002F636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Л А  :</w:t>
      </w:r>
    </w:p>
    <w:p w:rsidR="002F6362" w:rsidRDefault="002F6362" w:rsidP="002F6362">
      <w:pPr>
        <w:rPr>
          <w:sz w:val="16"/>
          <w:szCs w:val="16"/>
        </w:rPr>
      </w:pPr>
    </w:p>
    <w:p w:rsidR="002F6362" w:rsidRDefault="002F6362" w:rsidP="002F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Порядок виконання контрольних функцій у сфері оренди комунального майна Обухівської міської об’єднаної територіальної громади (що додається).</w:t>
      </w:r>
    </w:p>
    <w:p w:rsidR="002F6362" w:rsidRDefault="002F6362" w:rsidP="002F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6362" w:rsidRDefault="002F6362" w:rsidP="002F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постійну комісію міської ради з питань соціально - економічного розвитку, благоустрою, комунального господарства та управління комунальною власністю громади (голова комісії Геращенко В.М.) та заступника міського голови відповідно до розподілу функціональних обов’язків.</w:t>
      </w:r>
    </w:p>
    <w:p w:rsidR="002F6362" w:rsidRDefault="002F6362" w:rsidP="002F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6362" w:rsidRDefault="002F6362" w:rsidP="002F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Обухівський міський голова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F6362" w:rsidRDefault="002F6362" w:rsidP="002F6362">
      <w:pPr>
        <w:pStyle w:val="a4"/>
        <w:ind w:firstLine="709"/>
        <w:jc w:val="both"/>
        <w:rPr>
          <w:bCs/>
          <w:iCs/>
          <w:szCs w:val="28"/>
          <w:highlight w:val="yellow"/>
        </w:rPr>
      </w:pPr>
    </w:p>
    <w:p w:rsidR="002F6362" w:rsidRDefault="002F6362" w:rsidP="002F6362">
      <w:pPr>
        <w:pStyle w:val="a4"/>
        <w:rPr>
          <w:sz w:val="24"/>
        </w:rPr>
      </w:pPr>
      <w:r>
        <w:rPr>
          <w:sz w:val="24"/>
        </w:rPr>
        <w:t xml:space="preserve">м. Обухів </w:t>
      </w:r>
    </w:p>
    <w:p w:rsidR="002F6362" w:rsidRDefault="002F6362" w:rsidP="002F6362">
      <w:pPr>
        <w:pStyle w:val="a4"/>
        <w:rPr>
          <w:sz w:val="24"/>
        </w:rPr>
      </w:pPr>
      <w:r>
        <w:rPr>
          <w:sz w:val="24"/>
        </w:rPr>
        <w:t>№  1602 - 69 - VІІ</w:t>
      </w:r>
    </w:p>
    <w:p w:rsidR="002F6362" w:rsidRDefault="002F6362" w:rsidP="002F6362">
      <w:pPr>
        <w:pStyle w:val="a4"/>
        <w:rPr>
          <w:sz w:val="24"/>
        </w:rPr>
      </w:pPr>
      <w:r>
        <w:rPr>
          <w:sz w:val="24"/>
        </w:rPr>
        <w:t xml:space="preserve">від  24.09.2020 року </w:t>
      </w:r>
    </w:p>
    <w:p w:rsidR="002F6362" w:rsidRDefault="002F6362" w:rsidP="002F6362">
      <w:pPr>
        <w:pStyle w:val="a4"/>
        <w:rPr>
          <w:sz w:val="24"/>
        </w:rPr>
      </w:pPr>
      <w:proofErr w:type="spellStart"/>
      <w:r>
        <w:rPr>
          <w:sz w:val="24"/>
        </w:rPr>
        <w:t>вик</w:t>
      </w:r>
      <w:proofErr w:type="spellEnd"/>
      <w:r>
        <w:rPr>
          <w:sz w:val="24"/>
        </w:rPr>
        <w:t>. Кондратюк А.М.</w:t>
      </w:r>
    </w:p>
    <w:p w:rsidR="0073370B" w:rsidRPr="001738E0" w:rsidRDefault="0073370B" w:rsidP="0073370B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1738E0">
        <w:rPr>
          <w:sz w:val="28"/>
          <w:szCs w:val="28"/>
        </w:rPr>
        <w:lastRenderedPageBreak/>
        <w:t>Затверджено</w:t>
      </w:r>
    </w:p>
    <w:p w:rsidR="0073370B" w:rsidRDefault="0073370B" w:rsidP="0073370B">
      <w:pPr>
        <w:pStyle w:val="Default"/>
        <w:jc w:val="right"/>
      </w:pPr>
      <w:r>
        <w:t xml:space="preserve">Рішення Обухівської міської ради </w:t>
      </w:r>
    </w:p>
    <w:p w:rsidR="0073370B" w:rsidRDefault="0073370B" w:rsidP="0073370B">
      <w:pPr>
        <w:pStyle w:val="Default"/>
        <w:jc w:val="right"/>
        <w:rPr>
          <w:sz w:val="28"/>
          <w:szCs w:val="28"/>
        </w:rPr>
      </w:pPr>
      <w:r>
        <w:t>від 24 вересня 2020 року № 1602 - 69 - УІІ</w:t>
      </w:r>
    </w:p>
    <w:p w:rsidR="0073370B" w:rsidRDefault="0073370B" w:rsidP="0073370B">
      <w:pPr>
        <w:pStyle w:val="Default"/>
        <w:rPr>
          <w:b/>
          <w:bCs/>
          <w:sz w:val="28"/>
          <w:szCs w:val="28"/>
        </w:rPr>
      </w:pPr>
    </w:p>
    <w:p w:rsidR="0073370B" w:rsidRDefault="0073370B" w:rsidP="0073370B">
      <w:pPr>
        <w:pStyle w:val="Default"/>
        <w:jc w:val="center"/>
        <w:rPr>
          <w:b/>
          <w:bCs/>
          <w:sz w:val="28"/>
          <w:szCs w:val="28"/>
        </w:rPr>
      </w:pPr>
    </w:p>
    <w:p w:rsidR="0073370B" w:rsidRDefault="0073370B" w:rsidP="007337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73370B" w:rsidRPr="006E5400" w:rsidRDefault="0073370B" w:rsidP="007337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виконання контрольних функцій у сфері оренди комунального майна </w:t>
      </w:r>
      <w:r w:rsidRPr="006E5400">
        <w:rPr>
          <w:b/>
          <w:sz w:val="28"/>
          <w:szCs w:val="28"/>
        </w:rPr>
        <w:t>Обухівської міської об’єднаної територіальної громади</w:t>
      </w:r>
    </w:p>
    <w:p w:rsidR="0073370B" w:rsidRPr="006E5400" w:rsidRDefault="0073370B" w:rsidP="0073370B">
      <w:pPr>
        <w:pStyle w:val="Default"/>
        <w:jc w:val="center"/>
        <w:rPr>
          <w:b/>
          <w:sz w:val="28"/>
          <w:szCs w:val="28"/>
        </w:rPr>
      </w:pPr>
    </w:p>
    <w:p w:rsidR="0073370B" w:rsidRDefault="0073370B" w:rsidP="0073370B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E5400">
        <w:rPr>
          <w:b/>
          <w:bCs/>
          <w:sz w:val="28"/>
          <w:szCs w:val="28"/>
        </w:rPr>
        <w:t>I. Загальні положення</w:t>
      </w:r>
    </w:p>
    <w:p w:rsidR="0073370B" w:rsidRPr="006E5400" w:rsidRDefault="0073370B" w:rsidP="0073370B">
      <w:pPr>
        <w:pStyle w:val="Default"/>
        <w:ind w:firstLine="709"/>
        <w:jc w:val="center"/>
        <w:rPr>
          <w:b/>
          <w:sz w:val="28"/>
          <w:szCs w:val="28"/>
        </w:rPr>
      </w:pPr>
    </w:p>
    <w:p w:rsidR="0073370B" w:rsidRPr="00FC07D2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FC07D2">
        <w:rPr>
          <w:sz w:val="28"/>
          <w:szCs w:val="28"/>
        </w:rPr>
        <w:t xml:space="preserve">1. Цей Порядок, розроблений відповідно до статей </w:t>
      </w:r>
      <w:r>
        <w:rPr>
          <w:sz w:val="28"/>
          <w:szCs w:val="28"/>
        </w:rPr>
        <w:t xml:space="preserve">59, 60 </w:t>
      </w:r>
      <w:r w:rsidRPr="00FC07D2">
        <w:rPr>
          <w:sz w:val="28"/>
          <w:szCs w:val="28"/>
        </w:rPr>
        <w:t xml:space="preserve">Закону України «Про </w:t>
      </w:r>
      <w:r>
        <w:rPr>
          <w:sz w:val="28"/>
          <w:szCs w:val="28"/>
        </w:rPr>
        <w:t>місцеве самоврядування в Україні»</w:t>
      </w:r>
      <w:r w:rsidRPr="00FC07D2">
        <w:rPr>
          <w:sz w:val="28"/>
          <w:szCs w:val="28"/>
        </w:rPr>
        <w:t xml:space="preserve"> та статті 26 Закону України «Про оренду державного та комунального майна», встановлює механізм організації та здійснення контролю за виконанням умов договорів оренди та за використанням орендованого </w:t>
      </w:r>
      <w:r>
        <w:rPr>
          <w:sz w:val="28"/>
          <w:szCs w:val="28"/>
        </w:rPr>
        <w:t>комунального майна Обухівської міської об’єднаної територіальної громади.</w:t>
      </w:r>
      <w:r w:rsidRPr="00FC07D2">
        <w:rPr>
          <w:sz w:val="28"/>
          <w:szCs w:val="28"/>
        </w:rPr>
        <w:t xml:space="preserve"> </w:t>
      </w:r>
    </w:p>
    <w:p w:rsidR="0073370B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FC07D2">
        <w:rPr>
          <w:sz w:val="28"/>
          <w:szCs w:val="28"/>
        </w:rPr>
        <w:t xml:space="preserve">2. Контрольними заходами у сфері оренди </w:t>
      </w:r>
      <w:r>
        <w:rPr>
          <w:sz w:val="28"/>
          <w:szCs w:val="28"/>
        </w:rPr>
        <w:t xml:space="preserve">комунального </w:t>
      </w:r>
      <w:r w:rsidRPr="00FC07D2">
        <w:rPr>
          <w:sz w:val="28"/>
          <w:szCs w:val="28"/>
        </w:rPr>
        <w:t xml:space="preserve">майна є: </w:t>
      </w:r>
    </w:p>
    <w:p w:rsidR="0073370B" w:rsidRPr="00FC07D2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FC07D2">
        <w:rPr>
          <w:sz w:val="28"/>
          <w:szCs w:val="28"/>
        </w:rPr>
        <w:t xml:space="preserve">постійний документальний контроль за виконанням умов договору оренди та контроль за використанням переданого в оренду </w:t>
      </w:r>
      <w:r>
        <w:rPr>
          <w:sz w:val="28"/>
          <w:szCs w:val="28"/>
        </w:rPr>
        <w:t xml:space="preserve">комунального майна Обухівської міської об’єднаної територіальної </w:t>
      </w:r>
      <w:r w:rsidRPr="00FC07D2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громади</w:t>
      </w:r>
      <w:r w:rsidRPr="00FC07D2">
        <w:rPr>
          <w:sz w:val="28"/>
          <w:szCs w:val="28"/>
        </w:rPr>
        <w:t xml:space="preserve"> (далі – постійний контроль); </w:t>
      </w:r>
    </w:p>
    <w:p w:rsidR="0073370B" w:rsidRPr="00FC07D2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FC07D2">
        <w:rPr>
          <w:sz w:val="28"/>
          <w:szCs w:val="28"/>
        </w:rPr>
        <w:t xml:space="preserve">періодичний комплексний контроль за виконанням умов договору та використанням майна з оглядом об'єкта оренди (далі – періодичний комплексний контроль). </w:t>
      </w:r>
    </w:p>
    <w:p w:rsidR="0073370B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FC07D2">
        <w:rPr>
          <w:sz w:val="28"/>
          <w:szCs w:val="28"/>
        </w:rPr>
        <w:t xml:space="preserve">3. Під час здійснення контрольних заходів їх учасники керуються Конституцією України, законами України, актами Президента України та Кабінету Міністрів України, цим Порядком та договором оренди.  </w:t>
      </w:r>
    </w:p>
    <w:p w:rsidR="0073370B" w:rsidRPr="00C44E85" w:rsidRDefault="0073370B" w:rsidP="0073370B">
      <w:pPr>
        <w:rPr>
          <w:sz w:val="16"/>
          <w:szCs w:val="16"/>
        </w:rPr>
      </w:pPr>
    </w:p>
    <w:p w:rsidR="0073370B" w:rsidRDefault="0073370B" w:rsidP="00733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5">
        <w:rPr>
          <w:rFonts w:ascii="Times New Roman" w:hAnsi="Times New Roman" w:cs="Times New Roman"/>
          <w:b/>
          <w:sz w:val="28"/>
          <w:szCs w:val="28"/>
        </w:rPr>
        <w:t>Розділ ІІ. Постійний контроль</w:t>
      </w:r>
    </w:p>
    <w:p w:rsidR="0073370B" w:rsidRDefault="0073370B" w:rsidP="00733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0B" w:rsidRPr="001F5203" w:rsidRDefault="0073370B" w:rsidP="0073370B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5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Постійний контроль:</w:t>
      </w:r>
    </w:p>
    <w:p w:rsidR="0073370B" w:rsidRPr="001F5203" w:rsidRDefault="0073370B" w:rsidP="0073370B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5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 за виконанням умов договорів оренди єдиних майнових комплексів покладається на орендодавців із залученням уповноважених органів управління.</w:t>
      </w:r>
    </w:p>
    <w:p w:rsidR="0073370B" w:rsidRPr="001F5203" w:rsidRDefault="0073370B" w:rsidP="0073370B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454"/>
      <w:bookmarkEnd w:id="1"/>
      <w:r w:rsidRPr="001F5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 виконанням умов договорів оренди нерухомого та рухомого майна покладається на орендодавців майна.</w:t>
      </w:r>
    </w:p>
    <w:p w:rsidR="0073370B" w:rsidRPr="001F5203" w:rsidRDefault="0073370B" w:rsidP="0073370B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455"/>
      <w:bookmarkEnd w:id="2"/>
      <w:r w:rsidRPr="001F5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 використанням нерухомого та рухомого майна покладається на балансоутримувачів.</w:t>
      </w:r>
    </w:p>
    <w:p w:rsidR="0073370B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t xml:space="preserve">2. Під час здійснення </w:t>
      </w:r>
      <w:r>
        <w:rPr>
          <w:sz w:val="28"/>
          <w:szCs w:val="28"/>
        </w:rPr>
        <w:t>постійного контролю</w:t>
      </w:r>
      <w:r w:rsidRPr="00C44E85">
        <w:rPr>
          <w:sz w:val="28"/>
          <w:szCs w:val="28"/>
        </w:rPr>
        <w:t xml:space="preserve"> орендодавцем,</w:t>
      </w:r>
      <w:r>
        <w:rPr>
          <w:sz w:val="28"/>
          <w:szCs w:val="28"/>
        </w:rPr>
        <w:t xml:space="preserve"> </w:t>
      </w:r>
      <w:r w:rsidRPr="00C44E85">
        <w:rPr>
          <w:sz w:val="28"/>
          <w:szCs w:val="28"/>
        </w:rPr>
        <w:t>балансоутримувачем</w:t>
      </w:r>
      <w:r>
        <w:rPr>
          <w:sz w:val="28"/>
          <w:szCs w:val="28"/>
        </w:rPr>
        <w:t xml:space="preserve"> </w:t>
      </w:r>
      <w:r w:rsidRPr="00C44E85">
        <w:rPr>
          <w:sz w:val="28"/>
          <w:szCs w:val="28"/>
        </w:rPr>
        <w:t xml:space="preserve">перевіряються: </w:t>
      </w:r>
    </w:p>
    <w:p w:rsidR="0073370B" w:rsidRPr="00C44E85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t xml:space="preserve">цільове використання об’єкта оренди (якщо цільове використання визначено договором оренди); </w:t>
      </w:r>
    </w:p>
    <w:p w:rsidR="0073370B" w:rsidRPr="00C44E85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lastRenderedPageBreak/>
        <w:t xml:space="preserve">технічний стан об’єкта оренди (перебування об’єкта у стані, не гіршому, ніж на момент передачі його в оренду, з урахуванням нормального фізичного зносу); </w:t>
      </w:r>
    </w:p>
    <w:p w:rsidR="0073370B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t xml:space="preserve">відповідність займаної орендарем площі акту приймання-передавання орендованого майна; </w:t>
      </w:r>
    </w:p>
    <w:p w:rsidR="0073370B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t xml:space="preserve">наявність чинного договору страхування об'єкта оренди; </w:t>
      </w:r>
    </w:p>
    <w:p w:rsidR="0073370B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оренді майнових комплексів – погашення боргів із заробітної плати та перед бюджетом, простроченої кредиторської заборгованості підприємства (у разі їх наявності);</w:t>
      </w:r>
    </w:p>
    <w:p w:rsidR="0073370B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компенсація орендарем витрат, пов’язаних з проведенням переоцінки (оцінки) об’єкта оренди; </w:t>
      </w:r>
    </w:p>
    <w:p w:rsidR="0073370B" w:rsidRPr="00C44E85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EF70D0">
        <w:rPr>
          <w:sz w:val="28"/>
          <w:szCs w:val="28"/>
        </w:rPr>
        <w:t>надходження плати за оренду комунального майна до бюджету громади (щомісяця)</w:t>
      </w:r>
      <w:r>
        <w:rPr>
          <w:sz w:val="28"/>
          <w:szCs w:val="28"/>
        </w:rPr>
        <w:t>;</w:t>
      </w:r>
      <w:r w:rsidRPr="00C44E85">
        <w:rPr>
          <w:sz w:val="28"/>
          <w:szCs w:val="28"/>
        </w:rPr>
        <w:t xml:space="preserve"> </w:t>
      </w:r>
    </w:p>
    <w:p w:rsidR="0073370B" w:rsidRPr="00C44E85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t xml:space="preserve">надходження плати за оренду </w:t>
      </w:r>
      <w:r>
        <w:rPr>
          <w:sz w:val="28"/>
          <w:szCs w:val="28"/>
        </w:rPr>
        <w:t>комунального</w:t>
      </w:r>
      <w:r w:rsidRPr="00C44E85">
        <w:rPr>
          <w:sz w:val="28"/>
          <w:szCs w:val="28"/>
        </w:rPr>
        <w:t xml:space="preserve"> майна до балансоутримувача (щомісяця); </w:t>
      </w:r>
    </w:p>
    <w:p w:rsidR="0073370B" w:rsidRPr="00C44E85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t xml:space="preserve">виконання договору відшкодування витрат на утримання орендованого нерухомого майна та надання комунальних послуг орендарю (щомісяця). </w:t>
      </w:r>
    </w:p>
    <w:p w:rsidR="0073370B" w:rsidRPr="00C44E85" w:rsidRDefault="0073370B" w:rsidP="0073370B">
      <w:pPr>
        <w:pStyle w:val="Default"/>
        <w:ind w:firstLine="709"/>
        <w:jc w:val="both"/>
        <w:rPr>
          <w:sz w:val="28"/>
          <w:szCs w:val="28"/>
        </w:rPr>
      </w:pPr>
      <w:r w:rsidRPr="00C44E85">
        <w:rPr>
          <w:sz w:val="28"/>
          <w:szCs w:val="28"/>
        </w:rPr>
        <w:t xml:space="preserve">відомості щодо відповідності орендаря вимогам частини третьої статті 4 Закону України «Про оренду державного та комунального майна». </w:t>
      </w:r>
    </w:p>
    <w:p w:rsidR="0073370B" w:rsidRDefault="0073370B" w:rsidP="007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4E85">
        <w:rPr>
          <w:rFonts w:ascii="Times New Roman" w:hAnsi="Times New Roman" w:cs="Times New Roman"/>
          <w:sz w:val="28"/>
          <w:szCs w:val="28"/>
        </w:rPr>
        <w:t>. У ході постійного контролю балансоутримувач/орендодавець повідомляє орендаря про виявлені порушення.</w:t>
      </w:r>
    </w:p>
    <w:p w:rsidR="0073370B" w:rsidRDefault="0073370B" w:rsidP="007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0B" w:rsidRDefault="0073370B" w:rsidP="00733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ІІІ. Періодичний комплексний контроль</w:t>
      </w:r>
    </w:p>
    <w:p w:rsidR="0073370B" w:rsidRPr="00C44E85" w:rsidRDefault="0073370B" w:rsidP="00733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1. Періодичний комплексний контроль здійснюється за ініціативою орендодавця за участю уповноважених представників орендодавця, орендаря, а також: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балансоутримувача – у разі оренди нерухомого або іншого окремо індивідуально визначеного майна (рухомого), що належить до </w:t>
      </w:r>
      <w:r>
        <w:rPr>
          <w:color w:val="auto"/>
          <w:sz w:val="28"/>
          <w:szCs w:val="28"/>
        </w:rPr>
        <w:t xml:space="preserve">комунальної </w:t>
      </w:r>
      <w:r w:rsidRPr="00FC07D2">
        <w:rPr>
          <w:color w:val="auto"/>
          <w:sz w:val="28"/>
          <w:szCs w:val="28"/>
        </w:rPr>
        <w:t xml:space="preserve">власності; </w:t>
      </w:r>
    </w:p>
    <w:p w:rsidR="0073370B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уповноваженого органу управління – у разі оренди єдиного майнового комплексу </w:t>
      </w:r>
      <w:r>
        <w:rPr>
          <w:color w:val="auto"/>
          <w:sz w:val="28"/>
          <w:szCs w:val="28"/>
        </w:rPr>
        <w:t xml:space="preserve">комунальної власності Обухівської міської об’єднаної територіальної громади.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Орендодавець повідомляє уповноважений орган управління про проведення контрольних заходів не пізніше ніж за 10 календарних днів до їх проведення.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FC07D2">
        <w:rPr>
          <w:color w:val="auto"/>
          <w:sz w:val="28"/>
          <w:szCs w:val="28"/>
        </w:rPr>
        <w:t xml:space="preserve">. Періодичний комплексний контроль здійснюється згідно з щорічними планами-графіками, які затверджуються </w:t>
      </w:r>
      <w:r>
        <w:rPr>
          <w:color w:val="auto"/>
          <w:sz w:val="28"/>
          <w:szCs w:val="28"/>
        </w:rPr>
        <w:t xml:space="preserve">розпорядчими документами </w:t>
      </w:r>
      <w:r w:rsidRPr="00FC07D2">
        <w:rPr>
          <w:color w:val="auto"/>
          <w:sz w:val="28"/>
          <w:szCs w:val="28"/>
        </w:rPr>
        <w:t xml:space="preserve"> орендодавця</w:t>
      </w:r>
      <w:r>
        <w:rPr>
          <w:color w:val="auto"/>
          <w:sz w:val="28"/>
          <w:szCs w:val="28"/>
        </w:rPr>
        <w:t xml:space="preserve"> до 15 січня поточного року</w:t>
      </w:r>
      <w:r w:rsidRPr="00FC07D2">
        <w:rPr>
          <w:color w:val="auto"/>
          <w:sz w:val="28"/>
          <w:szCs w:val="28"/>
        </w:rPr>
        <w:t xml:space="preserve">, не частіше ніж раз на три роки протягом строку дії договору оренди, але не пізніше ніж за місяць до припинення договору оренди. </w:t>
      </w:r>
    </w:p>
    <w:p w:rsidR="0073370B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lastRenderedPageBreak/>
        <w:t xml:space="preserve">У плані-графіку зазначаються договір оренди, об'єкт оренди, дані орендаря та орієнтовний строк проведення контрольних заходів. 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Позаплановий комплексний контроль здійснюється у разі надходження відповідного доручення Уряду, звернення органу управління з відповідним обґрунтуванням або звернення правоохоронних органів.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>З ініціативою про здійснення позапланово</w:t>
      </w:r>
      <w:r>
        <w:rPr>
          <w:color w:val="auto"/>
          <w:sz w:val="28"/>
          <w:szCs w:val="28"/>
        </w:rPr>
        <w:t>го</w:t>
      </w:r>
      <w:r w:rsidRPr="00FC07D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контролю</w:t>
      </w:r>
      <w:r w:rsidRPr="00FC07D2">
        <w:rPr>
          <w:color w:val="auto"/>
          <w:sz w:val="28"/>
          <w:szCs w:val="28"/>
        </w:rPr>
        <w:t xml:space="preserve"> до орендодавця може звернутися орендар за власним бажанням.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C07D2">
        <w:rPr>
          <w:color w:val="auto"/>
          <w:sz w:val="28"/>
          <w:szCs w:val="28"/>
        </w:rPr>
        <w:t xml:space="preserve">. Орендар має забезпечити доступ на об’єкт оренди уповноваженим представникам орендодавця, балансоутримувача, уповноваженого органу управління.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C07D2">
        <w:rPr>
          <w:color w:val="auto"/>
          <w:sz w:val="28"/>
          <w:szCs w:val="28"/>
        </w:rPr>
        <w:t xml:space="preserve">. Під час здійснення періодичного комплексного контролю перевіряються: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відповідність цільового використання майна (якщо цільове використання визначено договором оренди);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технічний стан об’єкта оренди;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наявність/відсутність суборенди;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виконання умов договору оренди, запропонованих уповноваженим органом управління під час погодження передачі майна в оренду;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виконання інших умов договору оренди.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FC07D2">
        <w:rPr>
          <w:color w:val="auto"/>
          <w:sz w:val="28"/>
          <w:szCs w:val="28"/>
        </w:rPr>
        <w:t xml:space="preserve">. У процесі проведення періодичного комплексного контролю використовуються документи, які можуть підтверджувати виконання умов договору оренди або використання орендованого майна.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Такими документами можуть бути: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матеріали щодо використання амортизаційних відрахувань (у разі якщо орендоване майно перебуває на балансі орендаря);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договори страхування орендованого майна;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матеріали щодо списання орендованого майна;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інші документи, в яких можуть міститися необхідні для проведення перевірки відомості.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Документи мають бути належним чином оформлені та не мати виправлень, пропущених сторінок. Копії документів, що додаються до  матеріалів перевірки, мають бути завірені в установленому законодавством порядку.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FC07D2">
        <w:rPr>
          <w:color w:val="auto"/>
          <w:sz w:val="28"/>
          <w:szCs w:val="28"/>
        </w:rPr>
        <w:t xml:space="preserve">. Орендар забезпечує достовірність поданих документів щодо виконання договірних зобов'язань.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FC07D2">
        <w:rPr>
          <w:color w:val="auto"/>
          <w:sz w:val="28"/>
          <w:szCs w:val="28"/>
        </w:rPr>
        <w:t xml:space="preserve">. За результатами здійснення періодичного комплексного контролю складається звіт, що містить інформацію за напрямами, визначеними у пункті </w:t>
      </w:r>
      <w:r>
        <w:rPr>
          <w:color w:val="auto"/>
          <w:sz w:val="28"/>
          <w:szCs w:val="28"/>
        </w:rPr>
        <w:t>4</w:t>
      </w:r>
      <w:r w:rsidRPr="00FC07D2">
        <w:rPr>
          <w:color w:val="auto"/>
          <w:sz w:val="28"/>
          <w:szCs w:val="28"/>
        </w:rPr>
        <w:t xml:space="preserve"> цього розділу, а також інформацію про наявність/відсутність порушень умов виконання договору оренди та використання орендованого майна.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Відповідальним за складання звіту є орендодавець. Звіт складається у довільній формі у кількості по одному примірнику для кожної із залучених до контролю сторін і підписується його учасниками.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FC07D2">
        <w:rPr>
          <w:color w:val="auto"/>
          <w:sz w:val="28"/>
          <w:szCs w:val="28"/>
        </w:rPr>
        <w:t xml:space="preserve">. До звіту зі здійснення періодичного комплексного контролю виконання умов договору оренди додаються документи (завірені відповідно </w:t>
      </w:r>
      <w:r w:rsidRPr="00FC07D2">
        <w:rPr>
          <w:color w:val="auto"/>
          <w:sz w:val="28"/>
          <w:szCs w:val="28"/>
        </w:rPr>
        <w:lastRenderedPageBreak/>
        <w:t xml:space="preserve">до вимог чинного законодавства копії), які підтверджують стан виконання умов договору оренди. </w:t>
      </w:r>
    </w:p>
    <w:p w:rsidR="0073370B" w:rsidRPr="00FC07D2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FC07D2">
        <w:rPr>
          <w:color w:val="auto"/>
          <w:sz w:val="28"/>
          <w:szCs w:val="28"/>
        </w:rPr>
        <w:t xml:space="preserve">. У разі недопущення на об’єкт уповноважених представників орендодавця, балансоутримувача або уповноваженого органу управління для здійснення контролю цей факт підтверджується актом про не допуск. Акт складається у двох примірниках, один з яких надсилається орендарю. </w:t>
      </w:r>
    </w:p>
    <w:p w:rsidR="0073370B" w:rsidRDefault="0073370B" w:rsidP="0073370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3370B" w:rsidRDefault="0073370B" w:rsidP="0073370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3370B" w:rsidRDefault="0073370B" w:rsidP="0073370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C07D2">
        <w:rPr>
          <w:b/>
          <w:bCs/>
          <w:color w:val="auto"/>
          <w:sz w:val="28"/>
          <w:szCs w:val="28"/>
        </w:rPr>
        <w:t>Розділ IV. Дії у разі виявлення порушень</w:t>
      </w:r>
    </w:p>
    <w:p w:rsidR="0073370B" w:rsidRPr="00FC07D2" w:rsidRDefault="0073370B" w:rsidP="0073370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3370B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 xml:space="preserve">1.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контролю.  </w:t>
      </w:r>
    </w:p>
    <w:p w:rsidR="0073370B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7D2">
        <w:rPr>
          <w:color w:val="auto"/>
          <w:sz w:val="28"/>
          <w:szCs w:val="28"/>
        </w:rPr>
        <w:t>2. У разі якщо протягом зазначеного строку орендар не усунув порушення умов договору оренди та/або використання майна, орендодавець/</w:t>
      </w:r>
      <w:r w:rsidRPr="00780E65">
        <w:rPr>
          <w:color w:val="auto"/>
          <w:sz w:val="28"/>
          <w:szCs w:val="28"/>
        </w:rPr>
        <w:t xml:space="preserve"> </w:t>
      </w:r>
      <w:r w:rsidRPr="00FC07D2">
        <w:rPr>
          <w:color w:val="auto"/>
          <w:sz w:val="28"/>
          <w:szCs w:val="28"/>
        </w:rPr>
        <w:t>балансоутримувач</w:t>
      </w:r>
      <w:r>
        <w:rPr>
          <w:color w:val="auto"/>
          <w:sz w:val="28"/>
          <w:szCs w:val="28"/>
        </w:rPr>
        <w:t xml:space="preserve"> </w:t>
      </w:r>
      <w:r w:rsidRPr="00FC07D2">
        <w:rPr>
          <w:color w:val="auto"/>
          <w:sz w:val="28"/>
          <w:szCs w:val="28"/>
        </w:rPr>
        <w:t xml:space="preserve">вживає відповідних заходів згідно з вимогами чинного законодавства. </w:t>
      </w:r>
    </w:p>
    <w:p w:rsidR="0073370B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3370B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3370B" w:rsidRDefault="0073370B" w:rsidP="007337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3370B" w:rsidRPr="00FC07D2" w:rsidRDefault="0073370B" w:rsidP="007337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Начальник управління економіки          </w:t>
      </w:r>
      <w:r w:rsidR="001D70A0">
        <w:rPr>
          <w:color w:val="auto"/>
          <w:sz w:val="28"/>
          <w:szCs w:val="28"/>
        </w:rPr>
        <w:t>(підпис)</w:t>
      </w:r>
      <w:r>
        <w:rPr>
          <w:color w:val="auto"/>
          <w:sz w:val="28"/>
          <w:szCs w:val="28"/>
        </w:rPr>
        <w:t xml:space="preserve">                                  </w:t>
      </w:r>
      <w:proofErr w:type="spellStart"/>
      <w:r>
        <w:rPr>
          <w:color w:val="auto"/>
          <w:sz w:val="28"/>
          <w:szCs w:val="28"/>
        </w:rPr>
        <w:t>А.М.Кондратюк</w:t>
      </w:r>
      <w:proofErr w:type="spellEnd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E"/>
    <w:rsid w:val="001D70A0"/>
    <w:rsid w:val="002F6362"/>
    <w:rsid w:val="003959D2"/>
    <w:rsid w:val="00681CF1"/>
    <w:rsid w:val="006C0B77"/>
    <w:rsid w:val="007115AC"/>
    <w:rsid w:val="0073370B"/>
    <w:rsid w:val="008242FF"/>
    <w:rsid w:val="00870751"/>
    <w:rsid w:val="00922C48"/>
    <w:rsid w:val="00991ABE"/>
    <w:rsid w:val="00B65B2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D089B0"/>
  <w15:chartTrackingRefBased/>
  <w15:docId w15:val="{A69BF7AA-8A08-4201-ADE3-3D0E5052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62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2F6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6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caption"/>
    <w:basedOn w:val="a"/>
    <w:semiHidden/>
    <w:unhideWhenUsed/>
    <w:qFormat/>
    <w:rsid w:val="002F63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F63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F63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Subtitle"/>
    <w:basedOn w:val="a"/>
    <w:link w:val="a7"/>
    <w:qFormat/>
    <w:rsid w:val="002F63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2F6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F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2020-09-25T07:56:00Z</dcterms:created>
  <dcterms:modified xsi:type="dcterms:W3CDTF">2020-09-25T08:03:00Z</dcterms:modified>
</cp:coreProperties>
</file>