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B764" w14:textId="77777777" w:rsidR="00255590" w:rsidRDefault="00255590" w:rsidP="00255590">
      <w:pPr>
        <w:pStyle w:val="a3"/>
        <w:shd w:val="clear" w:color="auto" w:fill="FFFFFF"/>
        <w:ind w:firstLine="0"/>
        <w:jc w:val="right"/>
        <w:rPr>
          <w:bCs/>
          <w:color w:val="000000"/>
          <w:sz w:val="24"/>
        </w:rPr>
      </w:pPr>
      <w:bookmarkStart w:id="0" w:name="_GoBack"/>
      <w:bookmarkEnd w:id="0"/>
    </w:p>
    <w:p w14:paraId="6CFEAA09" w14:textId="77777777" w:rsidR="00C331B4" w:rsidRPr="00C06F4A" w:rsidRDefault="00C331B4" w:rsidP="00255590">
      <w:pPr>
        <w:pStyle w:val="a3"/>
        <w:shd w:val="clear" w:color="auto" w:fill="FFFFFF"/>
        <w:ind w:firstLine="0"/>
        <w:jc w:val="right"/>
        <w:rPr>
          <w:bCs/>
          <w:color w:val="000000"/>
          <w:sz w:val="24"/>
        </w:rPr>
      </w:pPr>
    </w:p>
    <w:p w14:paraId="263A42C8" w14:textId="77777777" w:rsidR="00255590" w:rsidRPr="00C728B7" w:rsidRDefault="00255590" w:rsidP="00255590">
      <w:pPr>
        <w:shd w:val="clear" w:color="auto" w:fill="FFFFFF"/>
        <w:jc w:val="center"/>
        <w:rPr>
          <w:rFonts w:eastAsia="Calibri"/>
          <w:b/>
          <w:szCs w:val="28"/>
          <w:lang w:val="uk-UA"/>
        </w:rPr>
      </w:pPr>
      <w:r w:rsidRPr="00C06F4A">
        <w:rPr>
          <w:b/>
          <w:bCs/>
          <w:color w:val="000000"/>
          <w:szCs w:val="28"/>
        </w:rPr>
        <w:t>Технічні вимоги на виконання</w:t>
      </w:r>
      <w:r>
        <w:rPr>
          <w:bCs/>
          <w:color w:val="000000"/>
          <w:sz w:val="24"/>
        </w:rPr>
        <w:t xml:space="preserve"> </w:t>
      </w:r>
      <w:r w:rsidRPr="00C728B7">
        <w:rPr>
          <w:rFonts w:eastAsia="Calibri"/>
          <w:b/>
          <w:szCs w:val="28"/>
          <w:lang w:val="uk-UA"/>
        </w:rPr>
        <w:t>повного енергетичного аудиту</w:t>
      </w:r>
    </w:p>
    <w:p w14:paraId="2420C920" w14:textId="77777777" w:rsidR="00255590" w:rsidRPr="00C728B7" w:rsidRDefault="00255590" w:rsidP="00255590">
      <w:pPr>
        <w:pStyle w:val="a3"/>
        <w:ind w:firstLine="0"/>
        <w:jc w:val="center"/>
        <w:rPr>
          <w:b/>
          <w:szCs w:val="28"/>
        </w:rPr>
      </w:pPr>
      <w:r w:rsidRPr="00C728B7">
        <w:rPr>
          <w:b/>
          <w:szCs w:val="28"/>
        </w:rPr>
        <w:t xml:space="preserve"> </w:t>
      </w:r>
      <w:r>
        <w:rPr>
          <w:b/>
          <w:szCs w:val="28"/>
        </w:rPr>
        <w:t>дошкільного навчального закладу (ясла-садок) комбінованого типу «Зірочка».</w:t>
      </w:r>
    </w:p>
    <w:p w14:paraId="18D09BA2" w14:textId="77777777" w:rsidR="00255590" w:rsidRPr="00C728B7" w:rsidRDefault="00255590" w:rsidP="00255590">
      <w:pPr>
        <w:shd w:val="clear" w:color="auto" w:fill="FFFFFF"/>
        <w:jc w:val="center"/>
        <w:rPr>
          <w:rFonts w:eastAsia="Calibri"/>
          <w:b/>
          <w:szCs w:val="28"/>
          <w:lang w:val="uk-UA"/>
        </w:rPr>
      </w:pPr>
    </w:p>
    <w:p w14:paraId="15EF4283" w14:textId="77777777" w:rsidR="00255590" w:rsidRPr="00EB636F" w:rsidRDefault="00255590" w:rsidP="00255590">
      <w:pPr>
        <w:ind w:firstLine="709"/>
        <w:jc w:val="center"/>
        <w:rPr>
          <w:b/>
          <w:szCs w:val="28"/>
        </w:rPr>
      </w:pPr>
      <w:r w:rsidRPr="00EB636F">
        <w:rPr>
          <w:b/>
          <w:szCs w:val="28"/>
        </w:rPr>
        <w:t>ТЕХНІЧНЕ ЗАВДАННЯ</w:t>
      </w:r>
    </w:p>
    <w:p w14:paraId="16D758F5" w14:textId="77777777" w:rsidR="00255590" w:rsidRPr="00EB636F" w:rsidRDefault="00255590" w:rsidP="00255590">
      <w:pPr>
        <w:ind w:firstLine="709"/>
        <w:jc w:val="center"/>
        <w:rPr>
          <w:b/>
          <w:szCs w:val="28"/>
          <w:lang w:eastAsia="zh-CN" w:bidi="hi-IN"/>
        </w:rPr>
      </w:pPr>
      <w:r w:rsidRPr="00EB636F">
        <w:rPr>
          <w:b/>
          <w:szCs w:val="28"/>
          <w:lang w:eastAsia="zh-CN" w:bidi="hi-IN"/>
        </w:rPr>
        <w:t>на надання послуги з енергетичного аудиту</w:t>
      </w:r>
    </w:p>
    <w:p w14:paraId="5E7C7FC6" w14:textId="77777777" w:rsidR="00255590" w:rsidRPr="00EB636F" w:rsidRDefault="00255590" w:rsidP="00255590">
      <w:pPr>
        <w:ind w:firstLine="709"/>
        <w:jc w:val="both"/>
        <w:rPr>
          <w:spacing w:val="-4"/>
          <w:szCs w:val="28"/>
          <w:lang w:val="uk-UA"/>
        </w:rPr>
      </w:pPr>
    </w:p>
    <w:p w14:paraId="693EC7C9" w14:textId="77777777" w:rsidR="00255590" w:rsidRPr="00EB636F" w:rsidRDefault="00255590" w:rsidP="00255590">
      <w:pPr>
        <w:numPr>
          <w:ilvl w:val="0"/>
          <w:numId w:val="1"/>
        </w:numPr>
        <w:ind w:left="0" w:firstLine="709"/>
        <w:jc w:val="center"/>
        <w:rPr>
          <w:b/>
          <w:spacing w:val="-4"/>
          <w:szCs w:val="28"/>
        </w:rPr>
      </w:pPr>
      <w:r w:rsidRPr="00EB636F">
        <w:rPr>
          <w:b/>
          <w:szCs w:val="28"/>
        </w:rPr>
        <w:t xml:space="preserve"> Нормативна база:</w:t>
      </w:r>
    </w:p>
    <w:p w14:paraId="288369B3" w14:textId="77777777" w:rsidR="00255590" w:rsidRPr="0095635C" w:rsidRDefault="00255590" w:rsidP="00255590">
      <w:pPr>
        <w:ind w:firstLine="709"/>
        <w:jc w:val="both"/>
        <w:rPr>
          <w:spacing w:val="-4"/>
          <w:szCs w:val="28"/>
          <w:lang w:val="uk-UA"/>
        </w:rPr>
      </w:pPr>
      <w:r w:rsidRPr="00EB636F">
        <w:rPr>
          <w:szCs w:val="28"/>
        </w:rPr>
        <w:tab/>
      </w:r>
      <w:r w:rsidRPr="0095635C">
        <w:rPr>
          <w:szCs w:val="28"/>
          <w:lang w:val="uk-UA"/>
        </w:rPr>
        <w:t>Послуга з проведення енергетичного аудиту повинна виконуватись згідно чинного законодавства, нормативних актів та відповідно до державних та європейських правил, норм і стандартів, а саме:</w:t>
      </w:r>
    </w:p>
    <w:p w14:paraId="547ABF49" w14:textId="77777777" w:rsidR="00255590" w:rsidRPr="0095635C" w:rsidRDefault="00255590" w:rsidP="00255590">
      <w:pPr>
        <w:numPr>
          <w:ilvl w:val="0"/>
          <w:numId w:val="2"/>
        </w:numPr>
        <w:ind w:left="0" w:firstLine="709"/>
        <w:rPr>
          <w:spacing w:val="-4"/>
          <w:szCs w:val="28"/>
          <w:lang w:val="uk-UA"/>
        </w:rPr>
      </w:pPr>
      <w:r w:rsidRPr="0095635C">
        <w:rPr>
          <w:szCs w:val="28"/>
          <w:lang w:val="uk-UA"/>
        </w:rPr>
        <w:t xml:space="preserve"> Закон України «Про енергозбереження»;</w:t>
      </w:r>
    </w:p>
    <w:p w14:paraId="04092366" w14:textId="77777777" w:rsidR="00255590" w:rsidRPr="0095635C" w:rsidRDefault="00255590" w:rsidP="00255590">
      <w:pPr>
        <w:numPr>
          <w:ilvl w:val="0"/>
          <w:numId w:val="2"/>
        </w:numPr>
        <w:ind w:left="0" w:firstLine="709"/>
        <w:rPr>
          <w:spacing w:val="-4"/>
          <w:szCs w:val="28"/>
          <w:lang w:val="uk-UA"/>
        </w:rPr>
      </w:pPr>
      <w:r w:rsidRPr="0095635C">
        <w:rPr>
          <w:szCs w:val="28"/>
          <w:lang w:val="uk-UA"/>
        </w:rPr>
        <w:t xml:space="preserve"> Закон України «Про енергетичну ефективність будівель»;</w:t>
      </w:r>
    </w:p>
    <w:p w14:paraId="6D9FA54B" w14:textId="77777777" w:rsidR="00255590" w:rsidRPr="0095635C" w:rsidRDefault="00255590" w:rsidP="00255590">
      <w:pPr>
        <w:numPr>
          <w:ilvl w:val="0"/>
          <w:numId w:val="2"/>
        </w:numPr>
        <w:ind w:left="0" w:firstLine="709"/>
        <w:rPr>
          <w:spacing w:val="-4"/>
          <w:szCs w:val="28"/>
          <w:lang w:val="uk-UA"/>
        </w:rPr>
      </w:pPr>
      <w:r w:rsidRPr="0095635C">
        <w:rPr>
          <w:szCs w:val="28"/>
          <w:lang w:val="uk-UA"/>
        </w:rPr>
        <w:t xml:space="preserve"> ДСТУ Б А.2.2-12:2015 Енергетична ефективність будівель. Метод розрахунку енергоспоживання при опаленні, охолодженні, вентиляції, освітленні та гарячому водопостачанні;</w:t>
      </w:r>
    </w:p>
    <w:p w14:paraId="209512A7" w14:textId="77777777" w:rsidR="00255590" w:rsidRPr="0095635C" w:rsidRDefault="00255590" w:rsidP="00255590">
      <w:pPr>
        <w:numPr>
          <w:ilvl w:val="0"/>
          <w:numId w:val="2"/>
        </w:numPr>
        <w:ind w:left="0" w:firstLine="709"/>
        <w:rPr>
          <w:spacing w:val="-4"/>
          <w:szCs w:val="28"/>
          <w:lang w:val="uk-UA"/>
        </w:rPr>
      </w:pPr>
      <w:r w:rsidRPr="0095635C">
        <w:rPr>
          <w:szCs w:val="28"/>
          <w:shd w:val="clear" w:color="auto" w:fill="FFFFFF"/>
          <w:lang w:val="uk-UA"/>
        </w:rPr>
        <w:t xml:space="preserve"> ДБН В.2.6-31:2016 «Теплова ізоляція будівель»;</w:t>
      </w:r>
    </w:p>
    <w:p w14:paraId="11F9536F" w14:textId="77777777" w:rsidR="00255590" w:rsidRPr="0095635C" w:rsidRDefault="00255590" w:rsidP="00255590">
      <w:pPr>
        <w:numPr>
          <w:ilvl w:val="0"/>
          <w:numId w:val="2"/>
        </w:numPr>
        <w:ind w:left="0" w:firstLine="709"/>
        <w:rPr>
          <w:spacing w:val="-4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ДСТУ 4065-2001 (ANSI/IEEE 739:1995, NEG) Державний стандарт України. Енергозбереження. Енергетичний аудит. Загальні технічні вимоги;</w:t>
      </w:r>
    </w:p>
    <w:p w14:paraId="250276BC" w14:textId="77777777" w:rsidR="00255590" w:rsidRPr="0095635C" w:rsidRDefault="00255590" w:rsidP="00255590">
      <w:pPr>
        <w:numPr>
          <w:ilvl w:val="0"/>
          <w:numId w:val="2"/>
        </w:numPr>
        <w:ind w:left="0" w:firstLine="709"/>
        <w:rPr>
          <w:spacing w:val="-4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ДСТУ ISO 50002:2016 Енергетичні аудити. Вимоги та настанови щодо їх проведення;</w:t>
      </w:r>
    </w:p>
    <w:p w14:paraId="6A91C09E" w14:textId="77777777" w:rsidR="00255590" w:rsidRPr="0095635C" w:rsidRDefault="00255590" w:rsidP="00255590">
      <w:pPr>
        <w:numPr>
          <w:ilvl w:val="0"/>
          <w:numId w:val="2"/>
        </w:numPr>
        <w:ind w:left="0" w:firstLine="709"/>
        <w:rPr>
          <w:spacing w:val="-4"/>
          <w:szCs w:val="28"/>
          <w:lang w:val="uk-UA"/>
        </w:rPr>
      </w:pPr>
      <w:r w:rsidRPr="0095635C">
        <w:rPr>
          <w:szCs w:val="28"/>
          <w:shd w:val="clear" w:color="auto" w:fill="FFFFFF"/>
          <w:lang w:val="uk-UA"/>
        </w:rPr>
        <w:t xml:space="preserve"> ДСТУ- НБА.2.2-5:2007 Настанова з розроблення енергетичного паспорта будинків; </w:t>
      </w:r>
    </w:p>
    <w:p w14:paraId="749761AF" w14:textId="77777777" w:rsidR="00255590" w:rsidRPr="0095635C" w:rsidRDefault="00255590" w:rsidP="00255590">
      <w:pPr>
        <w:numPr>
          <w:ilvl w:val="0"/>
          <w:numId w:val="2"/>
        </w:numPr>
        <w:ind w:left="0" w:firstLine="709"/>
        <w:jc w:val="both"/>
        <w:rPr>
          <w:spacing w:val="-4"/>
          <w:szCs w:val="28"/>
          <w:lang w:val="uk-UA"/>
        </w:rPr>
      </w:pPr>
      <w:r w:rsidRPr="0095635C">
        <w:rPr>
          <w:rFonts w:eastAsia="Calibri"/>
          <w:szCs w:val="28"/>
          <w:shd w:val="clear" w:color="auto" w:fill="FFFFFF"/>
          <w:lang w:val="uk-UA"/>
        </w:rPr>
        <w:t xml:space="preserve"> КТМ 204 України 244-94 Норми та вказівки по нормуванню витрат палива та теплової енергії на опалення житлових та громадських споруд, а також на господарсько-побутові потреби в Україні;</w:t>
      </w:r>
    </w:p>
    <w:p w14:paraId="6E8B732D" w14:textId="77777777" w:rsidR="00255590" w:rsidRPr="00D95B49" w:rsidRDefault="00255590" w:rsidP="00255590">
      <w:pPr>
        <w:numPr>
          <w:ilvl w:val="0"/>
          <w:numId w:val="2"/>
        </w:numPr>
        <w:ind w:left="0" w:firstLine="709"/>
        <w:jc w:val="both"/>
        <w:rPr>
          <w:spacing w:val="-4"/>
          <w:szCs w:val="28"/>
          <w:lang w:val="uk-UA"/>
        </w:rPr>
      </w:pPr>
      <w:r w:rsidRPr="0095635C">
        <w:rPr>
          <w:szCs w:val="28"/>
          <w:lang w:val="uk-UA"/>
        </w:rPr>
        <w:t xml:space="preserve"> ДСТУ Б ЕN 13187:2011 Теплові характеристики будівель. Якісне виявлення теплових відмов в огороджувальних ко</w:t>
      </w:r>
      <w:r w:rsidR="00D95B49">
        <w:rPr>
          <w:szCs w:val="28"/>
          <w:lang w:val="uk-UA"/>
        </w:rPr>
        <w:t>нструкціях. Інфрачервоний метод;</w:t>
      </w:r>
    </w:p>
    <w:p w14:paraId="76CE883F" w14:textId="77777777" w:rsidR="00D95B49" w:rsidRPr="00D95B49" w:rsidRDefault="00D95B49" w:rsidP="00D95B49">
      <w:pPr>
        <w:numPr>
          <w:ilvl w:val="0"/>
          <w:numId w:val="2"/>
        </w:numPr>
        <w:jc w:val="both"/>
        <w:rPr>
          <w:spacing w:val="-4"/>
          <w:szCs w:val="28"/>
          <w:lang w:val="uk-UA"/>
        </w:rPr>
      </w:pPr>
      <w:r w:rsidRPr="00D95B49">
        <w:rPr>
          <w:spacing w:val="-4"/>
          <w:szCs w:val="28"/>
          <w:lang w:val="uk-UA"/>
        </w:rPr>
        <w:t xml:space="preserve">ДСТУ Б В.2.6-17-2000 (ГОСТ 26602.1-99) «Конструкції будинків і споруд. Блоки віконні та дверні. Методи визначення опору теплопередачі»; </w:t>
      </w:r>
    </w:p>
    <w:p w14:paraId="6C4DBF50" w14:textId="77777777" w:rsidR="00D95B49" w:rsidRPr="00D95B49" w:rsidRDefault="00D95B49" w:rsidP="00D95B49">
      <w:pPr>
        <w:numPr>
          <w:ilvl w:val="0"/>
          <w:numId w:val="2"/>
        </w:numPr>
        <w:jc w:val="both"/>
        <w:rPr>
          <w:spacing w:val="-4"/>
          <w:szCs w:val="28"/>
          <w:lang w:val="uk-UA"/>
        </w:rPr>
      </w:pPr>
      <w:r w:rsidRPr="00D95B49">
        <w:rPr>
          <w:spacing w:val="-4"/>
          <w:szCs w:val="28"/>
          <w:lang w:val="uk-UA"/>
        </w:rPr>
        <w:t>ДСТУ Б В.2.6-34:2008 «Конструкції будинків і споруд. Конструкції зовнішніх стін із фасадною теплоізоляцією. Класифікація і загальні технічні вимоги»;</w:t>
      </w:r>
    </w:p>
    <w:p w14:paraId="7DB14596" w14:textId="77777777" w:rsidR="00D95B49" w:rsidRPr="00D95B49" w:rsidRDefault="00D95B49" w:rsidP="00D95B49">
      <w:pPr>
        <w:numPr>
          <w:ilvl w:val="0"/>
          <w:numId w:val="2"/>
        </w:numPr>
        <w:jc w:val="both"/>
        <w:rPr>
          <w:spacing w:val="-4"/>
          <w:szCs w:val="28"/>
          <w:lang w:val="uk-UA"/>
        </w:rPr>
      </w:pPr>
      <w:r w:rsidRPr="00D95B49">
        <w:rPr>
          <w:spacing w:val="-4"/>
          <w:szCs w:val="28"/>
          <w:lang w:val="uk-UA"/>
        </w:rPr>
        <w:t>ДСТУ Б В.2.6-189:2013 «Методи вибору теплоізоляційного матеріалу для утеплення будівель»;</w:t>
      </w:r>
    </w:p>
    <w:p w14:paraId="14C7907E" w14:textId="77777777" w:rsidR="00D95B49" w:rsidRPr="0095635C" w:rsidRDefault="00D95B49" w:rsidP="00255590">
      <w:pPr>
        <w:numPr>
          <w:ilvl w:val="0"/>
          <w:numId w:val="2"/>
        </w:numPr>
        <w:ind w:left="0" w:firstLine="709"/>
        <w:jc w:val="both"/>
        <w:rPr>
          <w:spacing w:val="-4"/>
          <w:szCs w:val="28"/>
          <w:lang w:val="uk-UA"/>
        </w:rPr>
      </w:pPr>
    </w:p>
    <w:p w14:paraId="46FEF522" w14:textId="77777777" w:rsidR="00255590" w:rsidRPr="0095635C" w:rsidRDefault="00255590" w:rsidP="00255590">
      <w:pPr>
        <w:ind w:firstLine="709"/>
        <w:rPr>
          <w:szCs w:val="28"/>
          <w:lang w:val="uk-UA" w:eastAsia="de-DE"/>
        </w:rPr>
      </w:pPr>
    </w:p>
    <w:p w14:paraId="3E0EFE81" w14:textId="77777777" w:rsidR="00255590" w:rsidRPr="0095635C" w:rsidRDefault="00255590" w:rsidP="00255590">
      <w:pPr>
        <w:numPr>
          <w:ilvl w:val="0"/>
          <w:numId w:val="1"/>
        </w:numPr>
        <w:ind w:left="0" w:firstLine="709"/>
        <w:jc w:val="center"/>
        <w:rPr>
          <w:b/>
          <w:szCs w:val="28"/>
          <w:lang w:val="uk-UA" w:eastAsia="de-DE"/>
        </w:rPr>
      </w:pPr>
      <w:r w:rsidRPr="0095635C">
        <w:rPr>
          <w:b/>
          <w:szCs w:val="28"/>
          <w:lang w:val="uk-UA" w:eastAsia="de-DE"/>
        </w:rPr>
        <w:t xml:space="preserve"> Послуга з проведення енергетичного аудиту повинна включати:</w:t>
      </w:r>
    </w:p>
    <w:p w14:paraId="60467CF1" w14:textId="77777777" w:rsidR="00255590" w:rsidRPr="0095635C" w:rsidRDefault="00255590" w:rsidP="0025559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de-DE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 xml:space="preserve"> Проведення організаційної зустрічі енергоаудиторів з представниками Замовника для обговорення питань організації проведення енергоаудиту, призначення відповідальних осіб Замовника для забезпечення надання необхідної вихідної інформації.</w:t>
      </w:r>
    </w:p>
    <w:p w14:paraId="0B3420D7" w14:textId="77777777" w:rsidR="00255590" w:rsidRPr="0095635C" w:rsidRDefault="00255590" w:rsidP="00255590">
      <w:pPr>
        <w:numPr>
          <w:ilvl w:val="0"/>
          <w:numId w:val="3"/>
        </w:numPr>
        <w:ind w:left="0" w:firstLine="709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 xml:space="preserve"> Аналіз інформації щодо:</w:t>
      </w:r>
    </w:p>
    <w:p w14:paraId="69DC922C" w14:textId="77777777" w:rsidR="00255590" w:rsidRPr="0095635C" w:rsidRDefault="00255590" w:rsidP="00255590">
      <w:pPr>
        <w:ind w:firstLine="709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lastRenderedPageBreak/>
        <w:t>- характеристик будівель та інженерних мереж, їх технічних креслень, схем та описів;</w:t>
      </w:r>
    </w:p>
    <w:p w14:paraId="4DE0996B" w14:textId="77777777" w:rsidR="00255590" w:rsidRPr="0095635C" w:rsidRDefault="00255590" w:rsidP="00255590">
      <w:pPr>
        <w:ind w:firstLine="709"/>
        <w:jc w:val="both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>- систем опалення, вентиляції, кондиціювання, холодного та гарячого водопостачання та водовідведення, електропостачання, газопостачання, освітлення;</w:t>
      </w:r>
    </w:p>
    <w:p w14:paraId="3C6A8C3E" w14:textId="77777777" w:rsidR="00255590" w:rsidRPr="0095635C" w:rsidRDefault="00255590" w:rsidP="00255590">
      <w:pPr>
        <w:ind w:firstLine="709"/>
        <w:jc w:val="both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>- енергетичних витрат (тепло, електро</w:t>
      </w:r>
      <w:r w:rsidR="00600D6B">
        <w:rPr>
          <w:szCs w:val="28"/>
          <w:lang w:val="uk-UA" w:eastAsia="de-DE"/>
        </w:rPr>
        <w:t>енергія, гаряча та холодна вода)</w:t>
      </w:r>
      <w:r w:rsidRPr="0095635C">
        <w:rPr>
          <w:szCs w:val="28"/>
          <w:lang w:val="uk-UA" w:eastAsia="de-DE"/>
        </w:rPr>
        <w:t>;</w:t>
      </w:r>
    </w:p>
    <w:p w14:paraId="5E92EF5A" w14:textId="77777777" w:rsidR="00255590" w:rsidRPr="0095635C" w:rsidRDefault="00255590" w:rsidP="00255590">
      <w:pPr>
        <w:ind w:firstLine="709"/>
        <w:jc w:val="both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>- режиму використання будівлі – кількості та часу присутніх у кожній будівлі (учні, адміністративний персонал, технічні працівники,  тощо);</w:t>
      </w:r>
    </w:p>
    <w:p w14:paraId="45F53ED0" w14:textId="77777777" w:rsidR="00255590" w:rsidRPr="0095635C" w:rsidRDefault="00255590" w:rsidP="00255590">
      <w:pPr>
        <w:ind w:firstLine="709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>- параметрів мікроклімату у приміщеннях кожної будівлі під час опалювального періоду;</w:t>
      </w:r>
    </w:p>
    <w:p w14:paraId="6C7799B6" w14:textId="77777777" w:rsidR="00255590" w:rsidRPr="0095635C" w:rsidRDefault="00255590" w:rsidP="00255590">
      <w:pPr>
        <w:ind w:firstLine="709"/>
        <w:jc w:val="both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>- порядку експлуатації кожної будівлі, проведених заходів з енергозбереження та отримання ефекту від їх впровадження;</w:t>
      </w:r>
    </w:p>
    <w:p w14:paraId="4350C764" w14:textId="77777777" w:rsidR="00255590" w:rsidRPr="0095635C" w:rsidRDefault="00255590" w:rsidP="00255590">
      <w:pPr>
        <w:ind w:firstLine="709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>- наявності енергомоніторингу та/або впровадження системи енергоменеджменту;</w:t>
      </w:r>
    </w:p>
    <w:p w14:paraId="0CFE0CF1" w14:textId="77777777" w:rsidR="00255590" w:rsidRPr="0095635C" w:rsidRDefault="00255590" w:rsidP="00255590">
      <w:pPr>
        <w:ind w:firstLine="709"/>
        <w:jc w:val="both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>- значних споживачів тепла, електроене</w:t>
      </w:r>
      <w:r w:rsidR="00600D6B">
        <w:rPr>
          <w:szCs w:val="28"/>
          <w:lang w:val="uk-UA" w:eastAsia="de-DE"/>
        </w:rPr>
        <w:t>ргії, гарячої та холодної води</w:t>
      </w:r>
      <w:r w:rsidRPr="0095635C">
        <w:rPr>
          <w:szCs w:val="28"/>
          <w:lang w:val="uk-UA" w:eastAsia="de-DE"/>
        </w:rPr>
        <w:t>.</w:t>
      </w:r>
    </w:p>
    <w:p w14:paraId="09432337" w14:textId="77777777" w:rsidR="00255590" w:rsidRPr="0095635C" w:rsidRDefault="00255590" w:rsidP="00255590">
      <w:pPr>
        <w:numPr>
          <w:ilvl w:val="0"/>
          <w:numId w:val="4"/>
        </w:numPr>
        <w:ind w:left="0" w:firstLine="709"/>
        <w:jc w:val="both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 xml:space="preserve"> Огляд поточного стану будівель, умов експлуатації, додержання санітарних норм, потреб проведення ремонту.</w:t>
      </w:r>
    </w:p>
    <w:p w14:paraId="6FAAA827" w14:textId="77777777" w:rsidR="00255590" w:rsidRPr="0095635C" w:rsidRDefault="00255590" w:rsidP="00255590">
      <w:pPr>
        <w:numPr>
          <w:ilvl w:val="0"/>
          <w:numId w:val="4"/>
        </w:numPr>
        <w:ind w:left="0" w:firstLine="709"/>
        <w:jc w:val="both"/>
        <w:rPr>
          <w:szCs w:val="28"/>
          <w:lang w:val="uk-UA" w:eastAsia="de-DE"/>
        </w:rPr>
      </w:pPr>
      <w:r w:rsidRPr="0095635C">
        <w:rPr>
          <w:szCs w:val="28"/>
          <w:lang w:val="uk-UA" w:eastAsia="de-DE"/>
        </w:rPr>
        <w:t xml:space="preserve"> Детальний огляд огороджувальних конструкцій, систем тепло- водо- електрозабезпечення, вентиляції, насосного обладнання, системи внутрішнього та зовнішнього освітлення.</w:t>
      </w:r>
    </w:p>
    <w:p w14:paraId="0101E2B2" w14:textId="77777777" w:rsidR="00255590" w:rsidRPr="0095635C" w:rsidRDefault="00255590" w:rsidP="00255590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Підготовку технічних звітів з енергетичного аудиту будівель (звіти з енергоаудиту кожної будівлі та Резюме по комплексу будівель закладу в цілому).</w:t>
      </w:r>
    </w:p>
    <w:p w14:paraId="40628A53" w14:textId="77777777" w:rsidR="00255590" w:rsidRPr="0095635C" w:rsidRDefault="00255590" w:rsidP="00255590">
      <w:pPr>
        <w:numPr>
          <w:ilvl w:val="0"/>
          <w:numId w:val="4"/>
        </w:numPr>
        <w:ind w:left="0" w:firstLine="709"/>
        <w:rPr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Передачу технічних звітів з енергоаудиту Замовнику у друкованому (мінімум 2 екземпляри)</w:t>
      </w:r>
      <w:r w:rsidRPr="0095635C">
        <w:rPr>
          <w:szCs w:val="28"/>
          <w:shd w:val="clear" w:color="auto" w:fill="FFFFFF"/>
          <w:lang w:val="uk-UA"/>
        </w:rPr>
        <w:t xml:space="preserve"> та електронному вигляді (формат файла pdf або docx). </w:t>
      </w:r>
    </w:p>
    <w:p w14:paraId="1F616CD2" w14:textId="77777777" w:rsidR="00255590" w:rsidRPr="0095635C" w:rsidRDefault="00255590" w:rsidP="00255590">
      <w:pPr>
        <w:suppressAutoHyphens/>
        <w:ind w:firstLine="709"/>
        <w:rPr>
          <w:b/>
          <w:szCs w:val="28"/>
          <w:lang w:val="uk-UA"/>
        </w:rPr>
      </w:pPr>
    </w:p>
    <w:p w14:paraId="77986AFC" w14:textId="77777777" w:rsidR="00255590" w:rsidRPr="0095635C" w:rsidRDefault="00255590" w:rsidP="00255590">
      <w:pPr>
        <w:numPr>
          <w:ilvl w:val="0"/>
          <w:numId w:val="1"/>
        </w:numPr>
        <w:ind w:left="0" w:firstLine="709"/>
        <w:jc w:val="center"/>
        <w:rPr>
          <w:b/>
          <w:szCs w:val="28"/>
          <w:lang w:val="uk-UA"/>
        </w:rPr>
      </w:pPr>
      <w:r w:rsidRPr="0095635C">
        <w:rPr>
          <w:b/>
          <w:szCs w:val="28"/>
          <w:lang w:val="uk-UA"/>
        </w:rPr>
        <w:t xml:space="preserve"> Звіт з енергетичного аудиту будівлі школи має містити:</w:t>
      </w:r>
    </w:p>
    <w:p w14:paraId="2D4D3651" w14:textId="77777777" w:rsidR="00255590" w:rsidRPr="0095635C" w:rsidRDefault="00255590" w:rsidP="002555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Інформацію про виконавців послуги з проведення енергетичного аудиту: назва компанії, адреса, тел. номери, електронна пошта, перелік осіб  задіяних у проведенні енергоаудиту та їх контактні дані</w:t>
      </w:r>
      <w:r w:rsidR="00B45D6F">
        <w:rPr>
          <w:rFonts w:eastAsia="Calibri"/>
          <w:szCs w:val="28"/>
          <w:lang w:val="uk-UA"/>
        </w:rPr>
        <w:t>, свідоцтва/сертифікати про підвищення кваліфікації та право виконання енергетичних аудитів</w:t>
      </w:r>
      <w:r w:rsidRPr="0095635C">
        <w:rPr>
          <w:rFonts w:eastAsia="Calibri"/>
          <w:szCs w:val="28"/>
          <w:lang w:val="uk-UA"/>
        </w:rPr>
        <w:t>.</w:t>
      </w:r>
    </w:p>
    <w:p w14:paraId="06298324" w14:textId="77777777" w:rsidR="00255590" w:rsidRPr="0095635C" w:rsidRDefault="00255590" w:rsidP="002555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Перелік документів (та місце їх розташування за наявності), які використовувалися при підготовці звіту з енергетичного аудиту (нормативні акти, технічні паспорти, специфікації, плани, креслення, рисунки, тощо).</w:t>
      </w:r>
    </w:p>
    <w:p w14:paraId="0198BB06" w14:textId="77777777" w:rsidR="00255590" w:rsidRPr="0095635C" w:rsidRDefault="00255590" w:rsidP="00255590">
      <w:pPr>
        <w:numPr>
          <w:ilvl w:val="0"/>
          <w:numId w:val="5"/>
        </w:numPr>
        <w:ind w:left="0"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Загальна характеристика будівлі: фото, схема розміщення будівлі, рік побудови, площа забудови, загальна площа, опалювальна площа та об’єм будівлі, кількість поверхів, матеріали  конструктивних елементів та опис технічного стану огороджувальних конструкцій, опис системи тепло-, водо-, електропостачання, систем освітлення, вентиляції, оснащення приладами обліку води та енергоресурсів, з зазначенням місця встановлення та типу лічильників, кількість працівників, відвідувачів, учнів, режим експлуатації, тощо.</w:t>
      </w:r>
    </w:p>
    <w:p w14:paraId="5B4B7878" w14:textId="77777777" w:rsidR="00255590" w:rsidRPr="0095635C" w:rsidRDefault="00255590" w:rsidP="002555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Інформація щодо конструктивних елементів та інженерного обладнання будівлі:</w:t>
      </w:r>
    </w:p>
    <w:p w14:paraId="795982A3" w14:textId="77777777" w:rsidR="00255590" w:rsidRPr="0095635C" w:rsidRDefault="00255590" w:rsidP="0025559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u w:val="single"/>
          <w:lang w:val="uk-UA"/>
        </w:rPr>
        <w:t xml:space="preserve"> стіни</w:t>
      </w:r>
      <w:r w:rsidRPr="0095635C">
        <w:rPr>
          <w:rFonts w:eastAsia="Calibri"/>
          <w:szCs w:val="28"/>
          <w:lang w:val="uk-UA"/>
        </w:rPr>
        <w:t xml:space="preserve">: загальна оцінка існуючого стану, загальна площа, конструкція (матеріал прошарків та їх товщина), геометричні та теплотехнічні </w:t>
      </w:r>
      <w:r w:rsidRPr="0095635C">
        <w:rPr>
          <w:rFonts w:eastAsia="Calibri"/>
          <w:szCs w:val="28"/>
          <w:lang w:val="uk-UA"/>
        </w:rPr>
        <w:lastRenderedPageBreak/>
        <w:t>характеристики стін з розподілом за сторонами світу, наявність тріщин в стінах та фундаменті будівлі, я</w:t>
      </w:r>
      <w:r w:rsidR="00600D6B">
        <w:rPr>
          <w:rFonts w:eastAsia="Calibri"/>
          <w:szCs w:val="28"/>
          <w:lang w:val="uk-UA"/>
        </w:rPr>
        <w:t>кість монтажу утеплювача цоколю</w:t>
      </w:r>
      <w:r w:rsidRPr="0095635C">
        <w:rPr>
          <w:rFonts w:eastAsia="Calibri"/>
          <w:szCs w:val="28"/>
          <w:lang w:val="uk-UA"/>
        </w:rPr>
        <w:t xml:space="preserve"> (стан та наявність конденсату тощо);</w:t>
      </w:r>
    </w:p>
    <w:p w14:paraId="79F593DC" w14:textId="77777777" w:rsidR="00255590" w:rsidRPr="0095635C" w:rsidRDefault="00255590" w:rsidP="0025559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u w:val="single"/>
          <w:lang w:val="uk-UA"/>
        </w:rPr>
        <w:t xml:space="preserve"> вікна та двері</w:t>
      </w:r>
      <w:r w:rsidRPr="0095635C">
        <w:rPr>
          <w:rFonts w:eastAsia="Calibri"/>
          <w:szCs w:val="28"/>
          <w:lang w:val="uk-UA"/>
        </w:rPr>
        <w:t>: загальна оцінка існуючого стану, загальна площа, тип матеріалу рами/коробки, скління, геометричні та теплотехнічні характеристики вікон з розподілом за сторонами світу, якість встановлених металопластикових вікон, аналіз герметичності віконних склопакетів;</w:t>
      </w:r>
    </w:p>
    <w:p w14:paraId="5D364772" w14:textId="77777777" w:rsidR="00255590" w:rsidRPr="0095635C" w:rsidRDefault="00255590" w:rsidP="0025559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u w:val="single"/>
          <w:lang w:val="uk-UA"/>
        </w:rPr>
        <w:t xml:space="preserve"> дах</w:t>
      </w:r>
      <w:r w:rsidR="00B45D6F">
        <w:rPr>
          <w:rFonts w:eastAsia="Calibri"/>
          <w:szCs w:val="28"/>
          <w:u w:val="single"/>
          <w:lang w:val="uk-UA"/>
        </w:rPr>
        <w:t>/горище</w:t>
      </w:r>
      <w:r w:rsidRPr="0095635C">
        <w:rPr>
          <w:rFonts w:eastAsia="Calibri"/>
          <w:szCs w:val="28"/>
          <w:lang w:val="uk-UA"/>
        </w:rPr>
        <w:t>: загальна оцінка існуючого стану, загальна площа, тип, конструкція (матеріал прошарків та їх товщина), геометричні та теплотехнічні характеристики;</w:t>
      </w:r>
    </w:p>
    <w:p w14:paraId="065FC93E" w14:textId="77777777" w:rsidR="00255590" w:rsidRPr="0095635C" w:rsidRDefault="00255590" w:rsidP="0025559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u w:val="single"/>
          <w:lang w:val="uk-UA"/>
        </w:rPr>
        <w:t xml:space="preserve"> підлога над перекриттям підвалу (техпідпілля):</w:t>
      </w:r>
      <w:r w:rsidRPr="0095635C">
        <w:rPr>
          <w:rFonts w:eastAsia="Calibri"/>
          <w:szCs w:val="28"/>
          <w:lang w:val="uk-UA"/>
        </w:rPr>
        <w:t xml:space="preserve"> загальна оцінка існуючого стану, загальна площа, тип, конструкція (матеріал прошарків та їх товщина), геометричні та теплотехнічні характеристики;</w:t>
      </w:r>
    </w:p>
    <w:p w14:paraId="23B8076C" w14:textId="74AB95A8" w:rsidR="00255590" w:rsidRPr="0095635C" w:rsidRDefault="00255590" w:rsidP="0025559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u w:val="single"/>
          <w:lang w:val="uk-UA"/>
        </w:rPr>
        <w:t xml:space="preserve"> система опалення:</w:t>
      </w:r>
      <w:r w:rsidRPr="0095635C">
        <w:rPr>
          <w:rFonts w:eastAsia="Calibri"/>
          <w:szCs w:val="28"/>
          <w:lang w:val="uk-UA"/>
        </w:rPr>
        <w:t xml:space="preserve"> тип внутрішньої системи, теплове навантаження (проектне та/або нормативне та/або договірне), наявність та кількість балансуючого обл</w:t>
      </w:r>
      <w:r w:rsidR="00B45D6F">
        <w:rPr>
          <w:rFonts w:eastAsia="Calibri"/>
          <w:szCs w:val="28"/>
          <w:lang w:val="uk-UA"/>
        </w:rPr>
        <w:t>аднання на стояках чи відгалужен</w:t>
      </w:r>
      <w:r w:rsidRPr="0095635C">
        <w:rPr>
          <w:rFonts w:eastAsia="Calibri"/>
          <w:szCs w:val="28"/>
          <w:lang w:val="uk-UA"/>
        </w:rPr>
        <w:t>нях, схема підключення до зовнішніх мереж, тип та кількість опалювальних приладів за кожним типом, тип та кількість термостатичних регуляторів на опалювальних приладах, результати обстеження з визначенням місць найбільших втрат теплової енергії, тощо;</w:t>
      </w:r>
    </w:p>
    <w:p w14:paraId="6601810A" w14:textId="77777777" w:rsidR="00255590" w:rsidRPr="0095635C" w:rsidRDefault="00255590" w:rsidP="0025559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u w:val="single"/>
          <w:lang w:val="uk-UA"/>
        </w:rPr>
        <w:t xml:space="preserve"> система вентиляції та кондиціонування</w:t>
      </w:r>
      <w:r w:rsidRPr="0095635C">
        <w:rPr>
          <w:rFonts w:eastAsia="Calibri"/>
          <w:szCs w:val="28"/>
          <w:lang w:val="uk-UA"/>
        </w:rPr>
        <w:t>: кількість вентиляційних систем та їх опис, нормативне теплове навантаження для потре</w:t>
      </w:r>
      <w:r w:rsidR="0090368C">
        <w:rPr>
          <w:rFonts w:eastAsia="Calibri"/>
          <w:szCs w:val="28"/>
          <w:lang w:val="uk-UA"/>
        </w:rPr>
        <w:t>б вентиляції та кондиціонування</w:t>
      </w:r>
      <w:r w:rsidRPr="0095635C">
        <w:rPr>
          <w:szCs w:val="28"/>
          <w:lang w:val="uk-UA"/>
        </w:rPr>
        <w:t>;</w:t>
      </w:r>
    </w:p>
    <w:p w14:paraId="62C04F6C" w14:textId="77777777" w:rsidR="00255590" w:rsidRPr="0095635C" w:rsidRDefault="00255590" w:rsidP="0025559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система побутового гарячого та холодного водопостачання: теплове навантаження для ГВП (проектне та/або нормативне та/або договірне), ефективність функціонування</w:t>
      </w:r>
      <w:r w:rsidRPr="0095635C">
        <w:rPr>
          <w:szCs w:val="28"/>
          <w:lang w:val="uk-UA"/>
        </w:rPr>
        <w:t>,</w:t>
      </w:r>
      <w:r w:rsidRPr="0095635C">
        <w:rPr>
          <w:rFonts w:eastAsia="Calibri"/>
          <w:szCs w:val="28"/>
          <w:lang w:val="uk-UA"/>
        </w:rPr>
        <w:t xml:space="preserve"> діагностика системи ГВП;</w:t>
      </w:r>
    </w:p>
    <w:p w14:paraId="06B3C691" w14:textId="77777777" w:rsidR="00255590" w:rsidRPr="0095635C" w:rsidRDefault="00255590" w:rsidP="0025559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u w:val="single"/>
          <w:lang w:val="uk-UA"/>
        </w:rPr>
        <w:t xml:space="preserve"> система освітлення:</w:t>
      </w:r>
      <w:r w:rsidRPr="0095635C">
        <w:rPr>
          <w:rFonts w:eastAsia="Calibri"/>
          <w:szCs w:val="28"/>
          <w:lang w:val="uk-UA"/>
        </w:rPr>
        <w:t xml:space="preserve"> кількість та типи світильників, потужність та кількість ламп (з зазначенням їх кількості по кожному типу світильника), час роботи, питома максимальна та питома усереднена потужність системи освітлення;</w:t>
      </w:r>
    </w:p>
    <w:p w14:paraId="39D56478" w14:textId="77777777" w:rsidR="00255590" w:rsidRPr="0095635C" w:rsidRDefault="00255590" w:rsidP="0025559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u w:val="single"/>
          <w:lang w:val="uk-UA"/>
        </w:rPr>
        <w:t xml:space="preserve"> система охолодження</w:t>
      </w:r>
      <w:r w:rsidRPr="0095635C">
        <w:rPr>
          <w:rFonts w:eastAsia="Calibri"/>
          <w:szCs w:val="28"/>
          <w:lang w:val="uk-UA"/>
        </w:rPr>
        <w:t>: кількість, потужність та час роботи кожного обладнання, питома максимальна та питома усереднена потужність;</w:t>
      </w:r>
    </w:p>
    <w:p w14:paraId="4A7C277C" w14:textId="77777777" w:rsidR="00255590" w:rsidRPr="0095635C" w:rsidRDefault="00255590" w:rsidP="00255590">
      <w:pPr>
        <w:ind w:firstLine="708"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u w:val="single"/>
          <w:lang w:val="uk-UA"/>
        </w:rPr>
        <w:t>- вагомі споживачі:</w:t>
      </w:r>
      <w:r w:rsidRPr="0095635C">
        <w:rPr>
          <w:rFonts w:eastAsia="Calibri"/>
          <w:szCs w:val="28"/>
          <w:lang w:val="uk-UA"/>
        </w:rPr>
        <w:t xml:space="preserve"> електричної та теплової енергії, гарячої та холодної води (вентилятори, насоси, електроплити, водонагрівачі, пральні машини та сушарки, лабораторне обладнання) – назва, рік випуску, потужність, режим використання, питома максимальна та питома усереднена потужність; персонал, якому дозволено працювати на даному обладнанні; необхідність та час останнього технічного обслуговування.</w:t>
      </w:r>
    </w:p>
    <w:p w14:paraId="5D9246DE" w14:textId="4AA7BBB9" w:rsidR="00255590" w:rsidRPr="00AA60C3" w:rsidRDefault="00255590" w:rsidP="00AA60C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Короткий опис</w:t>
      </w:r>
      <w:r w:rsidR="00B45D6F">
        <w:rPr>
          <w:rFonts w:eastAsia="Calibri"/>
          <w:szCs w:val="28"/>
          <w:lang w:val="uk-UA"/>
        </w:rPr>
        <w:t xml:space="preserve"> (анотація)</w:t>
      </w:r>
      <w:r w:rsidRPr="0095635C">
        <w:rPr>
          <w:rFonts w:eastAsia="Calibri"/>
          <w:szCs w:val="28"/>
          <w:lang w:val="uk-UA"/>
        </w:rPr>
        <w:t xml:space="preserve"> результатів енергоаудиту (загальна характеристика та енергетичний баланс  будівлі, інформація щодо питомих показників енергоспоживання та потенціал економії енергоносіїв, основні техніко-економічні показники потенційних заходів з підвищення енергоефективності будівель).</w:t>
      </w:r>
    </w:p>
    <w:p w14:paraId="4FB59D7F" w14:textId="77777777" w:rsidR="00255590" w:rsidRPr="0095635C" w:rsidRDefault="00255590" w:rsidP="002555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Дані за три повні останні роки (помісячно та за рік у цілому) щодо обсягів використання у натуральних одиницях електроенергії, теплової енергії, природного газу, гарячої та холодної води, а також розрахунок базових рівнів споживання ПЕР будівлі.</w:t>
      </w:r>
    </w:p>
    <w:p w14:paraId="0567EBBB" w14:textId="77777777" w:rsidR="00255590" w:rsidRPr="0095635C" w:rsidRDefault="00255590" w:rsidP="002555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lastRenderedPageBreak/>
        <w:t xml:space="preserve"> Інформацію щодо кількісті днів, дат початку та завершення опалювального періоду протягом трьох останніх повних років, середні температури повітря (зовнішнього і всередині будівель) помісячно за три останні роки, а також інформацію про кількість градусодіб опалення та охолодження.</w:t>
      </w:r>
    </w:p>
    <w:p w14:paraId="7ECB0932" w14:textId="77777777" w:rsidR="00255590" w:rsidRPr="0095635C" w:rsidRDefault="00255590" w:rsidP="002555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Інформацію щодо дотримання повітряно-теплового режиму, рівня освітлення та інших вимог утримання будівель, що визначені санітарними нормами в галузі організації праці, утримання будинків, будівель та споруд.</w:t>
      </w:r>
    </w:p>
    <w:p w14:paraId="4E2CC012" w14:textId="77777777" w:rsidR="00255590" w:rsidRPr="0095635C" w:rsidRDefault="00255590" w:rsidP="002555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Розрахований енергетичний баланс будівлі (опалення, вентиляція, гаряче водопостачання, освітлення, охолодження та інше обладнання, а саме: вентилятори, насоси, та інше) згідно наступних сценаріїв: розрахунковий базовий рівень споживання енергетичних ресурсів, фактичний базовий рівень та рівень енергоефективної моделі з поясненням обраних основних показників енергоефективності.</w:t>
      </w:r>
    </w:p>
    <w:p w14:paraId="25D14496" w14:textId="77777777" w:rsidR="00255590" w:rsidRPr="0095635C" w:rsidRDefault="00255590" w:rsidP="002555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 Інформацію про можливі енергоефективні заходи та проекти використання альтернативних джерел енергії, а саме для кожного заходу:</w:t>
      </w:r>
    </w:p>
    <w:p w14:paraId="6841045C" w14:textId="77777777" w:rsidR="00255590" w:rsidRPr="0095635C" w:rsidRDefault="00255590" w:rsidP="00255590">
      <w:pPr>
        <w:ind w:firstLine="709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-</w:t>
      </w:r>
      <w:r w:rsidRPr="0095635C">
        <w:rPr>
          <w:rFonts w:eastAsia="Calibri"/>
          <w:b/>
          <w:szCs w:val="28"/>
          <w:lang w:val="uk-UA"/>
        </w:rPr>
        <w:t xml:space="preserve"> </w:t>
      </w:r>
      <w:r w:rsidRPr="0095635C">
        <w:rPr>
          <w:rFonts w:eastAsia="Calibri"/>
          <w:szCs w:val="28"/>
          <w:lang w:val="uk-UA"/>
        </w:rPr>
        <w:t>назва заходу та</w:t>
      </w:r>
      <w:r w:rsidRPr="0095635C">
        <w:rPr>
          <w:rFonts w:eastAsia="Calibri"/>
          <w:b/>
          <w:szCs w:val="28"/>
          <w:lang w:val="uk-UA"/>
        </w:rPr>
        <w:t xml:space="preserve"> </w:t>
      </w:r>
      <w:r w:rsidRPr="0095635C">
        <w:rPr>
          <w:rFonts w:eastAsia="Calibri"/>
          <w:szCs w:val="28"/>
          <w:lang w:val="uk-UA"/>
        </w:rPr>
        <w:t>короткий опис;</w:t>
      </w:r>
    </w:p>
    <w:p w14:paraId="21511D68" w14:textId="77777777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- оцінка обсягу необхідних інвестицій з деталізацією основних статей витрат (витрати на проектування, основні матеріали та обладнання, витрати на виконання робіт, інші витрати), оцінкою операційних витрат (в разі наявності; наприклад, на обслуговування обладнання) та описом основних припущень (вартість основних матеріалів та обладнання, курс іноземних валют на дату виконання оцінки, тощо);</w:t>
      </w:r>
    </w:p>
    <w:p w14:paraId="3FE1EC68" w14:textId="77777777" w:rsidR="00255590" w:rsidRPr="0095635C" w:rsidRDefault="00255590" w:rsidP="00255590">
      <w:pPr>
        <w:ind w:firstLine="709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- оцінка тривалості та графіку реалізації заходу;</w:t>
      </w:r>
    </w:p>
    <w:p w14:paraId="59373283" w14:textId="77777777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- потенціал енергозбереження від впровадження заходу (з виділенням економії від скорочення споживання електроенергії, теплової енергії, природного газу, тощо) та/або потенціал виробництва енергії (електроенергії та/або теплової енергії) з альтернативних джерел;</w:t>
      </w:r>
    </w:p>
    <w:p w14:paraId="3599B889" w14:textId="77777777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- фінансові показники, а саме: простий та дисконтований термін окупності; внутрішня норма прибутковості, чиста приведена вартість із зазначенням основних припущень (ставка дисконтування, період аналізу грошових потоків, тощо), співвідношення інвестицій до заощаджень.</w:t>
      </w:r>
    </w:p>
    <w:p w14:paraId="65493DA7" w14:textId="77777777" w:rsidR="00255590" w:rsidRPr="0095635C" w:rsidRDefault="00255590" w:rsidP="00255590">
      <w:pPr>
        <w:ind w:firstLine="709"/>
        <w:jc w:val="both"/>
        <w:rPr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-  </w:t>
      </w:r>
      <w:r w:rsidRPr="0095635C">
        <w:rPr>
          <w:szCs w:val="28"/>
          <w:lang w:val="uk-UA"/>
        </w:rPr>
        <w:t>розподіл за пріоритетністю: короткострокові заходи (вимагають невеликих інвестицій або зовсім їх не вимагають, термінові заходи та з високою самоокупністю, заходи необхідні для запобігання пошкодженню будівлі та обладнання); середньострокові заходи (вимагають середніх та великих інвестицій,  але мають високу самоокупність); довгострокові заходи (вимагають великих інвестицій та мають значні строки окупності);</w:t>
      </w:r>
    </w:p>
    <w:p w14:paraId="45CF205C" w14:textId="77777777" w:rsidR="00255590" w:rsidRPr="0095635C" w:rsidRDefault="00255590" w:rsidP="00255590">
      <w:pPr>
        <w:ind w:firstLine="709"/>
        <w:rPr>
          <w:szCs w:val="28"/>
          <w:lang w:val="uk-UA"/>
        </w:rPr>
      </w:pPr>
      <w:r w:rsidRPr="0095635C">
        <w:rPr>
          <w:szCs w:val="28"/>
          <w:lang w:val="uk-UA"/>
        </w:rPr>
        <w:t>-</w:t>
      </w:r>
      <w:r w:rsidRPr="0095635C">
        <w:rPr>
          <w:rFonts w:eastAsia="Calibri"/>
          <w:szCs w:val="28"/>
          <w:lang w:val="uk-UA"/>
        </w:rPr>
        <w:t xml:space="preserve">  </w:t>
      </w:r>
      <w:r w:rsidRPr="0095635C">
        <w:rPr>
          <w:szCs w:val="28"/>
          <w:lang w:val="uk-UA"/>
        </w:rPr>
        <w:t>рекомендована послідовність виконання потенційних енергозберігаючих заходів;</w:t>
      </w:r>
    </w:p>
    <w:p w14:paraId="36194A74" w14:textId="77777777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- альтернативні варіанти впровадження заходу (в разі їх наявності) та вплив на основні показники заходу (вартість, потенціал енергозбереження, період окупності). </w:t>
      </w:r>
    </w:p>
    <w:p w14:paraId="034A269A" w14:textId="77777777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Всі фінансові розрахунки (економічний ефект, період окупності) мають включати в себе всі необхідні операційні витрати. </w:t>
      </w:r>
    </w:p>
    <w:p w14:paraId="4EB788FB" w14:textId="77777777" w:rsidR="00255590" w:rsidRPr="0095635C" w:rsidRDefault="00255590" w:rsidP="0025559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 xml:space="preserve">Оцінка економічної ефективності всіх потенційних енергозберігаючих заходів повинна бути здійснена шляхом побудови математичних моделей кожного заходу. </w:t>
      </w:r>
    </w:p>
    <w:p w14:paraId="720EF760" w14:textId="744DEFD3" w:rsidR="00255590" w:rsidRPr="0095635C" w:rsidRDefault="00255590" w:rsidP="0025559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 xml:space="preserve">Моделі повинні бути побудовані на наступних припущеннях (станом на </w:t>
      </w:r>
      <w:r w:rsidR="00AA60C3" w:rsidRPr="00AA60C3"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Pr="0095635C">
        <w:rPr>
          <w:rFonts w:ascii="Times New Roman" w:hAnsi="Times New Roman"/>
          <w:sz w:val="28"/>
          <w:szCs w:val="28"/>
          <w:lang w:val="uk-UA"/>
        </w:rPr>
        <w:t>р.):</w:t>
      </w:r>
    </w:p>
    <w:p w14:paraId="433507D3" w14:textId="77777777" w:rsidR="00255590" w:rsidRPr="0095635C" w:rsidRDefault="00255590" w:rsidP="00255590">
      <w:pPr>
        <w:numPr>
          <w:ilvl w:val="0"/>
          <w:numId w:val="6"/>
        </w:numPr>
        <w:ind w:firstLine="567"/>
        <w:rPr>
          <w:szCs w:val="28"/>
          <w:lang w:val="uk-UA"/>
        </w:rPr>
      </w:pPr>
      <w:r w:rsidRPr="0095635C">
        <w:rPr>
          <w:szCs w:val="28"/>
          <w:lang w:val="uk-UA"/>
        </w:rPr>
        <w:t xml:space="preserve">вартість теплової енергії, електричної енергії, водопостачання та водовідведення - згідно відповідних тарифів комунальних підприємств м. </w:t>
      </w:r>
      <w:r w:rsidR="0090368C">
        <w:rPr>
          <w:szCs w:val="28"/>
          <w:lang w:val="uk-UA"/>
        </w:rPr>
        <w:t>Обухів</w:t>
      </w:r>
      <w:r w:rsidRPr="0095635C">
        <w:rPr>
          <w:szCs w:val="28"/>
          <w:lang w:val="uk-UA"/>
        </w:rPr>
        <w:t>;</w:t>
      </w:r>
    </w:p>
    <w:p w14:paraId="6479FD7F" w14:textId="77777777" w:rsidR="00255590" w:rsidRPr="0095635C" w:rsidRDefault="00255590" w:rsidP="00255590">
      <w:pPr>
        <w:numPr>
          <w:ilvl w:val="0"/>
          <w:numId w:val="6"/>
        </w:numPr>
        <w:ind w:firstLine="567"/>
        <w:rPr>
          <w:szCs w:val="28"/>
          <w:lang w:val="uk-UA"/>
        </w:rPr>
      </w:pPr>
      <w:r w:rsidRPr="0095635C">
        <w:rPr>
          <w:szCs w:val="28"/>
          <w:lang w:val="uk-UA"/>
        </w:rPr>
        <w:t>курс гривні до євро – згідно курсу НБУ на дату розрахунків;</w:t>
      </w:r>
    </w:p>
    <w:p w14:paraId="36FED4CB" w14:textId="77777777" w:rsidR="00255590" w:rsidRPr="0095635C" w:rsidRDefault="00255590" w:rsidP="00255590">
      <w:pPr>
        <w:numPr>
          <w:ilvl w:val="0"/>
          <w:numId w:val="6"/>
        </w:numPr>
        <w:ind w:firstLine="567"/>
        <w:rPr>
          <w:szCs w:val="28"/>
          <w:lang w:val="uk-UA"/>
        </w:rPr>
      </w:pPr>
      <w:r w:rsidRPr="0095635C">
        <w:rPr>
          <w:szCs w:val="28"/>
          <w:lang w:val="uk-UA"/>
        </w:rPr>
        <w:t>ставка дисконтування – 1</w:t>
      </w:r>
      <w:r w:rsidR="0090368C">
        <w:rPr>
          <w:szCs w:val="28"/>
          <w:lang w:val="uk-UA"/>
        </w:rPr>
        <w:t>7</w:t>
      </w:r>
      <w:r w:rsidRPr="0095635C">
        <w:rPr>
          <w:szCs w:val="28"/>
          <w:lang w:val="uk-UA"/>
        </w:rPr>
        <w:t>,5 %;</w:t>
      </w:r>
    </w:p>
    <w:p w14:paraId="6936398C" w14:textId="77777777" w:rsidR="00255590" w:rsidRPr="0095635C" w:rsidRDefault="00255590" w:rsidP="00255590">
      <w:pPr>
        <w:numPr>
          <w:ilvl w:val="0"/>
          <w:numId w:val="6"/>
        </w:numPr>
        <w:ind w:firstLine="567"/>
        <w:rPr>
          <w:szCs w:val="28"/>
          <w:lang w:val="uk-UA"/>
        </w:rPr>
      </w:pPr>
      <w:r w:rsidRPr="0095635C">
        <w:rPr>
          <w:szCs w:val="28"/>
          <w:lang w:val="uk-UA"/>
        </w:rPr>
        <w:t>прогноз промислової інфляції на ціни енергоносіїв – згідно прогнозних розрахунків;</w:t>
      </w:r>
    </w:p>
    <w:p w14:paraId="604AACD7" w14:textId="77777777" w:rsidR="00255590" w:rsidRPr="0095635C" w:rsidRDefault="00255590" w:rsidP="00255590">
      <w:pPr>
        <w:numPr>
          <w:ilvl w:val="0"/>
          <w:numId w:val="6"/>
        </w:numPr>
        <w:ind w:firstLine="567"/>
        <w:rPr>
          <w:szCs w:val="28"/>
          <w:lang w:val="uk-UA"/>
        </w:rPr>
      </w:pPr>
      <w:r w:rsidRPr="0095635C">
        <w:rPr>
          <w:szCs w:val="28"/>
          <w:lang w:val="uk-UA"/>
        </w:rPr>
        <w:t>похибка обчислень не повинна пер</w:t>
      </w:r>
      <w:r w:rsidR="0090368C">
        <w:rPr>
          <w:szCs w:val="28"/>
          <w:lang w:val="uk-UA"/>
        </w:rPr>
        <w:t>дитячого гавчального закладу</w:t>
      </w:r>
      <w:r w:rsidRPr="0095635C">
        <w:rPr>
          <w:szCs w:val="28"/>
          <w:lang w:val="uk-UA"/>
        </w:rPr>
        <w:t>евищувати ± 15 %.</w:t>
      </w:r>
    </w:p>
    <w:p w14:paraId="2BD58D0C" w14:textId="77777777" w:rsidR="00255590" w:rsidRPr="0095635C" w:rsidRDefault="00255590" w:rsidP="00255590">
      <w:pPr>
        <w:ind w:left="115" w:firstLine="567"/>
        <w:rPr>
          <w:szCs w:val="28"/>
          <w:lang w:val="uk-UA"/>
        </w:rPr>
      </w:pPr>
      <w:r w:rsidRPr="0095635C">
        <w:rPr>
          <w:szCs w:val="28"/>
          <w:lang w:val="uk-UA"/>
        </w:rPr>
        <w:t>По кожному енергозберігаючому заходу в звіті з енергоаудиту повинні бути розраховані наступні показники ефективності інвестицій:</w:t>
      </w:r>
    </w:p>
    <w:p w14:paraId="3A90D023" w14:textId="77777777" w:rsidR="00255590" w:rsidRPr="0095635C" w:rsidRDefault="00255590" w:rsidP="002555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>простий період окупності РВ;</w:t>
      </w:r>
    </w:p>
    <w:p w14:paraId="608DB331" w14:textId="77777777" w:rsidR="00255590" w:rsidRPr="0095635C" w:rsidRDefault="00255590" w:rsidP="002555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 xml:space="preserve">дисконтований період окупності DPB; </w:t>
      </w:r>
    </w:p>
    <w:p w14:paraId="37204EE5" w14:textId="77777777" w:rsidR="00255590" w:rsidRPr="0095635C" w:rsidRDefault="00255590" w:rsidP="002555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>середня норма рентабельності ARR (%);</w:t>
      </w:r>
    </w:p>
    <w:p w14:paraId="6D7F76D6" w14:textId="77777777" w:rsidR="00255590" w:rsidRPr="0095635C" w:rsidRDefault="00255590" w:rsidP="002555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>чистий приведений дохід NPV;</w:t>
      </w:r>
    </w:p>
    <w:p w14:paraId="4DFEF32A" w14:textId="77777777" w:rsidR="00255590" w:rsidRPr="0095635C" w:rsidRDefault="00255590" w:rsidP="002555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>індекс прибутковості PI;</w:t>
      </w:r>
    </w:p>
    <w:p w14:paraId="48C3832D" w14:textId="77777777" w:rsidR="00255590" w:rsidRPr="0095635C" w:rsidRDefault="00255590" w:rsidP="002555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>внутрішня норма рентабельності IRR (%);</w:t>
      </w:r>
    </w:p>
    <w:p w14:paraId="0F8C24ED" w14:textId="77777777" w:rsidR="00255590" w:rsidRPr="0095635C" w:rsidRDefault="00255590" w:rsidP="002555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635C">
        <w:rPr>
          <w:rFonts w:ascii="Times New Roman" w:hAnsi="Times New Roman"/>
          <w:sz w:val="28"/>
          <w:szCs w:val="28"/>
          <w:lang w:val="uk-UA"/>
        </w:rPr>
        <w:t>модифікована внутрішня норма рентабельності MIRR (%).</w:t>
      </w:r>
    </w:p>
    <w:p w14:paraId="0E7147D5" w14:textId="77777777" w:rsidR="00255590" w:rsidRPr="0095635C" w:rsidRDefault="00255590" w:rsidP="00255590">
      <w:pPr>
        <w:ind w:firstLine="709"/>
        <w:jc w:val="both"/>
        <w:rPr>
          <w:color w:val="FF0000"/>
          <w:szCs w:val="28"/>
          <w:lang w:val="uk-UA"/>
        </w:rPr>
      </w:pPr>
      <w:r w:rsidRPr="0095635C">
        <w:rPr>
          <w:szCs w:val="28"/>
          <w:lang w:val="uk-UA"/>
        </w:rPr>
        <w:t xml:space="preserve">Всі заходи з підвищення енергоефективності </w:t>
      </w:r>
      <w:r w:rsidR="0090368C">
        <w:rPr>
          <w:szCs w:val="28"/>
          <w:lang w:val="uk-UA"/>
        </w:rPr>
        <w:t>дитячого навчального закладу</w:t>
      </w:r>
      <w:r w:rsidRPr="0095635C">
        <w:rPr>
          <w:szCs w:val="28"/>
          <w:lang w:val="uk-UA"/>
        </w:rPr>
        <w:t xml:space="preserve"> повинні впроваджуватись як один проект.</w:t>
      </w:r>
      <w:r w:rsidRPr="0095635C">
        <w:rPr>
          <w:color w:val="FF0000"/>
          <w:szCs w:val="28"/>
          <w:lang w:val="uk-UA"/>
        </w:rPr>
        <w:t xml:space="preserve"> </w:t>
      </w:r>
    </w:p>
    <w:p w14:paraId="2ADD5E8B" w14:textId="77777777" w:rsidR="00255590" w:rsidRPr="0095635C" w:rsidRDefault="00255590" w:rsidP="00255590">
      <w:pPr>
        <w:ind w:firstLine="709"/>
        <w:jc w:val="both"/>
        <w:rPr>
          <w:rFonts w:eastAsia="Calibri"/>
          <w:color w:val="000000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14. Екологічні вигоди – скорочення викидів парникових газів, враховуючи  фактичний сценарій, базовий рівень та сценарій енергоефективної моделі.</w:t>
      </w:r>
    </w:p>
    <w:p w14:paraId="0980BBC3" w14:textId="77777777" w:rsidR="00255590" w:rsidRPr="0095635C" w:rsidRDefault="00255590" w:rsidP="00255590">
      <w:pPr>
        <w:ind w:firstLine="709"/>
        <w:rPr>
          <w:szCs w:val="28"/>
          <w:lang w:val="uk-UA"/>
        </w:rPr>
      </w:pPr>
    </w:p>
    <w:p w14:paraId="2AAFE356" w14:textId="77777777" w:rsidR="00255590" w:rsidRPr="0095635C" w:rsidRDefault="00255590" w:rsidP="0025559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b/>
          <w:szCs w:val="28"/>
          <w:lang w:val="uk-UA"/>
        </w:rPr>
        <w:t xml:space="preserve"> Представлення та обговорення попередніх результатів звіту з енергетичного аудиту</w:t>
      </w:r>
    </w:p>
    <w:p w14:paraId="38B11643" w14:textId="77777777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Виконавець послуги з проведення енергетичного аудиту має представити Замовнику та обговорити попередні результати технічного звіту з енергоаудиту. Замовник має право вносити коментарі та зауваження з метою приведення звіту з енергоаудиту у відповідність до вимог даного технічного завдання.</w:t>
      </w:r>
    </w:p>
    <w:p w14:paraId="7CAFCEC5" w14:textId="77777777" w:rsidR="00255590" w:rsidRPr="0095635C" w:rsidRDefault="00255590" w:rsidP="0025559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b/>
          <w:szCs w:val="28"/>
          <w:lang w:val="uk-UA"/>
        </w:rPr>
        <w:t xml:space="preserve"> П</w:t>
      </w:r>
      <w:r w:rsidRPr="0095635C">
        <w:rPr>
          <w:b/>
          <w:szCs w:val="28"/>
          <w:shd w:val="clear" w:color="auto" w:fill="FFFFFF"/>
          <w:lang w:val="uk-UA"/>
        </w:rPr>
        <w:t>резентація звіту з енергоаудиту.</w:t>
      </w:r>
    </w:p>
    <w:p w14:paraId="7F9C51E0" w14:textId="6F8D351D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Результати енергетичного аудиту мають бути представлені для ознайомлення посадовим особам Замовника, керівникам та енергоменеджер</w:t>
      </w:r>
      <w:r w:rsidR="005A2896">
        <w:rPr>
          <w:rFonts w:eastAsia="Calibri"/>
          <w:szCs w:val="28"/>
          <w:lang w:val="uk-UA"/>
        </w:rPr>
        <w:t>о</w:t>
      </w:r>
      <w:r w:rsidRPr="0095635C">
        <w:rPr>
          <w:rFonts w:eastAsia="Calibri"/>
          <w:szCs w:val="28"/>
          <w:lang w:val="uk-UA"/>
        </w:rPr>
        <w:t>м структурних підрозділів Замовника після завершення підготовки звіту з урахуванням доповнень, зауважень, рекомендацій Замовника.</w:t>
      </w:r>
    </w:p>
    <w:p w14:paraId="2AFDF763" w14:textId="77777777" w:rsidR="00255590" w:rsidRPr="0095635C" w:rsidRDefault="00255590" w:rsidP="00255590">
      <w:pPr>
        <w:ind w:firstLine="709"/>
        <w:jc w:val="both"/>
        <w:rPr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Місце проведення заходу, дата та час обумовлються Замовником. У рамках презентації Підрядник повинен доповісти про результати енергоаудиту з забезпеченням супроводу своєї доповіді слайдами, відповісти на запитання щодо проведення енергоаудиту та його результатів, підготувати прес-реліз щодо результатів аудитів та надати його Замовнику в електронному вигляді, у термін визначений Замовником, для забезпечення друку та розповсюдження.</w:t>
      </w:r>
    </w:p>
    <w:p w14:paraId="6C0851ED" w14:textId="77777777" w:rsidR="00255590" w:rsidRPr="0095635C" w:rsidRDefault="00255590" w:rsidP="00255590">
      <w:pPr>
        <w:ind w:firstLine="709"/>
        <w:jc w:val="center"/>
        <w:rPr>
          <w:rFonts w:eastAsia="Calibri"/>
          <w:b/>
          <w:szCs w:val="28"/>
          <w:lang w:val="uk-UA"/>
        </w:rPr>
      </w:pPr>
    </w:p>
    <w:p w14:paraId="163BDD72" w14:textId="77777777" w:rsidR="00255590" w:rsidRPr="0095635C" w:rsidRDefault="00255590" w:rsidP="00255590">
      <w:pPr>
        <w:ind w:firstLine="709"/>
        <w:jc w:val="center"/>
        <w:rPr>
          <w:rFonts w:eastAsia="Calibri"/>
          <w:szCs w:val="28"/>
          <w:lang w:val="uk-UA"/>
        </w:rPr>
      </w:pPr>
      <w:r w:rsidRPr="0095635C">
        <w:rPr>
          <w:rFonts w:eastAsia="Calibri"/>
          <w:b/>
          <w:szCs w:val="28"/>
          <w:lang w:val="uk-UA"/>
        </w:rPr>
        <w:t>6. Результати Послуги</w:t>
      </w:r>
    </w:p>
    <w:p w14:paraId="11AB2B12" w14:textId="77777777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Звіт з енергетичного аудиту надається Замовнику в кількості трьох примірників у друкованому</w:t>
      </w:r>
      <w:r w:rsidR="00D40369">
        <w:rPr>
          <w:rFonts w:eastAsia="Calibri"/>
          <w:szCs w:val="28"/>
          <w:lang w:val="uk-UA"/>
        </w:rPr>
        <w:t xml:space="preserve"> з підписами виконавців</w:t>
      </w:r>
      <w:r w:rsidRPr="0095635C">
        <w:rPr>
          <w:rFonts w:eastAsia="Calibri"/>
          <w:szCs w:val="28"/>
          <w:lang w:val="uk-UA"/>
        </w:rPr>
        <w:t xml:space="preserve"> та електронному вигляді</w:t>
      </w:r>
      <w:r w:rsidR="00D40369">
        <w:rPr>
          <w:rFonts w:eastAsia="Calibri"/>
          <w:szCs w:val="28"/>
          <w:lang w:val="uk-UA"/>
        </w:rPr>
        <w:t xml:space="preserve"> у форматі </w:t>
      </w:r>
      <w:r w:rsidR="00D40369">
        <w:rPr>
          <w:rFonts w:eastAsia="Calibri"/>
          <w:szCs w:val="28"/>
          <w:lang w:val="en-US"/>
        </w:rPr>
        <w:t>pdf</w:t>
      </w:r>
      <w:r w:rsidRPr="0095635C">
        <w:rPr>
          <w:rFonts w:eastAsia="Calibri"/>
          <w:szCs w:val="28"/>
          <w:lang w:val="uk-UA"/>
        </w:rPr>
        <w:t xml:space="preserve">. </w:t>
      </w:r>
    </w:p>
    <w:p w14:paraId="6E9FFE0B" w14:textId="77777777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Всі результати робіт Підрядника послуги з проведення енергоаудиту, включаючи звіт про результати аудиту, не можуть бути об’єктом жодних авторських прав і надаються Замовнику українською мовою у друкованій та електронній формі для ексклюзивного використання.</w:t>
      </w:r>
    </w:p>
    <w:p w14:paraId="0AE1E828" w14:textId="77777777" w:rsidR="00255590" w:rsidRPr="0095635C" w:rsidRDefault="00255590" w:rsidP="00255590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 w:rsidRPr="0095635C">
        <w:rPr>
          <w:bCs/>
          <w:szCs w:val="28"/>
          <w:lang w:val="uk-UA"/>
        </w:rPr>
        <w:t>Обов'яво:</w:t>
      </w:r>
    </w:p>
    <w:p w14:paraId="1793F943" w14:textId="2B3FB341" w:rsidR="00255590" w:rsidRPr="0095635C" w:rsidRDefault="0090368C" w:rsidP="00255590">
      <w:pPr>
        <w:autoSpaceDE w:val="0"/>
        <w:autoSpaceDN w:val="0"/>
        <w:adjustRightInd w:val="0"/>
        <w:rPr>
          <w:bCs/>
          <w:szCs w:val="28"/>
          <w:lang w:val="uk-UA"/>
        </w:rPr>
      </w:pPr>
      <w:r>
        <w:rPr>
          <w:bCs/>
          <w:szCs w:val="28"/>
          <w:lang w:val="uk-UA"/>
        </w:rPr>
        <w:t>Енергетичний паспорт будівлі</w:t>
      </w:r>
      <w:r w:rsidR="00494615">
        <w:rPr>
          <w:bCs/>
          <w:szCs w:val="28"/>
          <w:lang w:val="uk-UA"/>
        </w:rPr>
        <w:t xml:space="preserve"> згідно ДСТУ-Н Б А</w:t>
      </w:r>
      <w:r>
        <w:rPr>
          <w:bCs/>
          <w:szCs w:val="28"/>
          <w:lang w:val="uk-UA"/>
        </w:rPr>
        <w:t>.</w:t>
      </w:r>
      <w:r w:rsidR="00494615">
        <w:rPr>
          <w:bCs/>
          <w:szCs w:val="28"/>
          <w:lang w:val="uk-UA"/>
        </w:rPr>
        <w:t>2.2-5:2007</w:t>
      </w:r>
    </w:p>
    <w:p w14:paraId="22CE31B2" w14:textId="77777777" w:rsidR="00255590" w:rsidRPr="0095635C" w:rsidRDefault="00255590" w:rsidP="00255590">
      <w:pPr>
        <w:ind w:firstLine="709"/>
        <w:rPr>
          <w:rFonts w:eastAsia="Calibri"/>
          <w:szCs w:val="28"/>
          <w:lang w:val="uk-UA"/>
        </w:rPr>
      </w:pPr>
    </w:p>
    <w:p w14:paraId="5B552F89" w14:textId="77777777" w:rsidR="00255590" w:rsidRPr="0095635C" w:rsidRDefault="00255590" w:rsidP="00255590">
      <w:pPr>
        <w:ind w:firstLine="709"/>
        <w:jc w:val="center"/>
        <w:rPr>
          <w:rFonts w:eastAsia="Calibri"/>
          <w:szCs w:val="28"/>
          <w:lang w:val="uk-UA"/>
        </w:rPr>
      </w:pPr>
      <w:r w:rsidRPr="0095635C">
        <w:rPr>
          <w:rFonts w:eastAsia="Calibri"/>
          <w:b/>
          <w:szCs w:val="28"/>
          <w:lang w:val="uk-UA"/>
        </w:rPr>
        <w:t>7. Термін виконання робіт</w:t>
      </w:r>
    </w:p>
    <w:p w14:paraId="6E0D8B9C" w14:textId="77777777" w:rsidR="00255590" w:rsidRPr="0095635C" w:rsidRDefault="00255590" w:rsidP="00255590">
      <w:pPr>
        <w:ind w:firstLine="709"/>
        <w:jc w:val="both"/>
        <w:rPr>
          <w:b/>
          <w:szCs w:val="28"/>
          <w:lang w:val="uk-UA"/>
        </w:rPr>
      </w:pPr>
      <w:r w:rsidRPr="0095635C">
        <w:rPr>
          <w:szCs w:val="28"/>
          <w:lang w:val="uk-UA"/>
        </w:rPr>
        <w:t xml:space="preserve">Визначається згідно Календарного плану (Додаток № до Договору). Кінцевий строк надання Послуги має завершуватися до </w:t>
      </w:r>
      <w:r w:rsidRPr="0095635C">
        <w:rPr>
          <w:b/>
          <w:szCs w:val="28"/>
          <w:lang w:val="uk-UA"/>
        </w:rPr>
        <w:t>_________ року.</w:t>
      </w:r>
    </w:p>
    <w:p w14:paraId="18B1CEA5" w14:textId="77777777" w:rsidR="00255590" w:rsidRPr="0095635C" w:rsidRDefault="00255590" w:rsidP="00255590">
      <w:pPr>
        <w:ind w:firstLine="709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Підрядник має надати перший проект звіту не пізніше 30 робочих днів з моменту підписання  цього Договору.</w:t>
      </w:r>
    </w:p>
    <w:p w14:paraId="785143DD" w14:textId="77777777" w:rsidR="00255590" w:rsidRPr="0095635C" w:rsidRDefault="00255590" w:rsidP="00255590">
      <w:pPr>
        <w:ind w:firstLine="708"/>
        <w:jc w:val="both"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Доопрацювання звіту до останньої підготовленої версії має бути проведено в термін не пізніше 5 робочих днів з моменту отримання коментарів (рекомендацій), зауважень та доповнень.</w:t>
      </w:r>
    </w:p>
    <w:p w14:paraId="60A570C4" w14:textId="77777777" w:rsidR="00255590" w:rsidRPr="0095635C" w:rsidRDefault="00255590" w:rsidP="00255590">
      <w:pPr>
        <w:ind w:firstLine="708"/>
        <w:jc w:val="both"/>
        <w:rPr>
          <w:rFonts w:eastAsia="Calibri"/>
          <w:szCs w:val="28"/>
          <w:lang w:val="uk-UA"/>
        </w:rPr>
      </w:pPr>
    </w:p>
    <w:p w14:paraId="45E3F63B" w14:textId="77777777" w:rsidR="00255590" w:rsidRPr="0095635C" w:rsidRDefault="00255590" w:rsidP="00255590">
      <w:pPr>
        <w:numPr>
          <w:ilvl w:val="0"/>
          <w:numId w:val="4"/>
        </w:numPr>
        <w:contextualSpacing/>
        <w:jc w:val="center"/>
        <w:rPr>
          <w:rFonts w:eastAsia="Calibri"/>
          <w:b/>
          <w:szCs w:val="28"/>
          <w:lang w:val="uk-UA"/>
        </w:rPr>
      </w:pPr>
      <w:r w:rsidRPr="0095635C">
        <w:rPr>
          <w:rFonts w:eastAsia="Calibri"/>
          <w:b/>
          <w:szCs w:val="28"/>
          <w:lang w:val="uk-UA"/>
        </w:rPr>
        <w:t>Характеристика об′єкта</w:t>
      </w:r>
    </w:p>
    <w:p w14:paraId="556A05E8" w14:textId="15EF453E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повна назва:</w:t>
      </w:r>
      <w:r w:rsidR="00AA60C3" w:rsidRPr="00AA60C3">
        <w:rPr>
          <w:rFonts w:eastAsia="Calibri"/>
          <w:szCs w:val="28"/>
        </w:rPr>
        <w:t xml:space="preserve"> </w:t>
      </w:r>
      <w:r w:rsidR="00AA60C3">
        <w:rPr>
          <w:rFonts w:eastAsia="Calibri"/>
          <w:szCs w:val="28"/>
          <w:lang w:val="uk-UA"/>
        </w:rPr>
        <w:t>Дитячий навчальний заклад комбінованого типу (ясла-садок) «Зірочка»</w:t>
      </w:r>
    </w:p>
    <w:p w14:paraId="5F717244" w14:textId="124157E4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адрес: </w:t>
      </w:r>
      <w:r w:rsidR="00AA60C3">
        <w:rPr>
          <w:rFonts w:eastAsia="Calibri"/>
          <w:szCs w:val="28"/>
          <w:lang w:val="uk-UA"/>
        </w:rPr>
        <w:t>м.Обухів, вул. Каштанова, 5</w:t>
      </w:r>
    </w:p>
    <w:p w14:paraId="1E398481" w14:textId="1E5F93DA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рік забудови: </w:t>
      </w:r>
      <w:r w:rsidR="00AA60C3">
        <w:rPr>
          <w:rFonts w:eastAsia="Calibri"/>
          <w:szCs w:val="28"/>
          <w:lang w:val="uk-UA"/>
        </w:rPr>
        <w:t>1979</w:t>
      </w:r>
      <w:r w:rsidRPr="0095635C">
        <w:rPr>
          <w:rFonts w:eastAsia="Calibri"/>
          <w:szCs w:val="28"/>
          <w:lang w:val="uk-UA"/>
        </w:rPr>
        <w:t xml:space="preserve"> рік;</w:t>
      </w:r>
    </w:p>
    <w:p w14:paraId="1F9D0EA0" w14:textId="2014CCAC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опалювальна площа: </w:t>
      </w:r>
      <w:r w:rsidR="00AA60C3">
        <w:rPr>
          <w:rFonts w:eastAsia="Calibri"/>
          <w:szCs w:val="28"/>
          <w:lang w:val="uk-UA"/>
        </w:rPr>
        <w:t>1935</w:t>
      </w:r>
      <w:r w:rsidRPr="0095635C">
        <w:rPr>
          <w:rFonts w:eastAsia="Calibri"/>
          <w:szCs w:val="28"/>
          <w:lang w:val="uk-UA"/>
        </w:rPr>
        <w:t xml:space="preserve"> м2;</w:t>
      </w:r>
    </w:p>
    <w:p w14:paraId="6746C7B8" w14:textId="6E456DB3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опалювальний об′єм: </w:t>
      </w:r>
      <w:r w:rsidR="00AA60C3">
        <w:rPr>
          <w:rFonts w:eastAsia="Calibri"/>
          <w:szCs w:val="28"/>
          <w:lang w:val="uk-UA"/>
        </w:rPr>
        <w:t>4837,5</w:t>
      </w:r>
      <w:r w:rsidRPr="0095635C">
        <w:rPr>
          <w:rFonts w:eastAsia="Calibri"/>
          <w:szCs w:val="28"/>
          <w:lang w:val="uk-UA"/>
        </w:rPr>
        <w:t xml:space="preserve"> м3;</w:t>
      </w:r>
    </w:p>
    <w:p w14:paraId="2168D582" w14:textId="6D842105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кількість поверхів: </w:t>
      </w:r>
      <w:r w:rsidR="00AA60C3">
        <w:rPr>
          <w:rFonts w:eastAsia="Calibri"/>
          <w:szCs w:val="28"/>
          <w:lang w:val="uk-UA"/>
        </w:rPr>
        <w:t xml:space="preserve">2 </w:t>
      </w:r>
      <w:r w:rsidRPr="0095635C">
        <w:rPr>
          <w:rFonts w:eastAsia="Calibri"/>
          <w:szCs w:val="28"/>
          <w:lang w:val="uk-UA"/>
        </w:rPr>
        <w:t>;</w:t>
      </w:r>
    </w:p>
    <w:p w14:paraId="4DD392C6" w14:textId="0A25CD42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місткість ДНЗ: </w:t>
      </w:r>
      <w:r w:rsidR="00AA60C3">
        <w:rPr>
          <w:rFonts w:eastAsia="Calibri"/>
          <w:szCs w:val="28"/>
          <w:lang w:val="uk-UA"/>
        </w:rPr>
        <w:t>327</w:t>
      </w:r>
      <w:r w:rsidRPr="0095635C">
        <w:rPr>
          <w:rFonts w:eastAsia="Calibri"/>
          <w:szCs w:val="28"/>
          <w:lang w:val="uk-UA"/>
        </w:rPr>
        <w:t xml:space="preserve"> дітей та працівників;</w:t>
      </w:r>
    </w:p>
    <w:p w14:paraId="48B298C3" w14:textId="77777777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наявні технічні документи: поверхові плани будівлі з експлікацією приміщень;</w:t>
      </w:r>
    </w:p>
    <w:p w14:paraId="5D745DA5" w14:textId="075939EC" w:rsidR="00D50A5E" w:rsidRPr="00D50A5E" w:rsidRDefault="00255590" w:rsidP="00D50A5E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 xml:space="preserve">теплопостачання: централізоване, </w:t>
      </w:r>
      <w:r w:rsidR="00AA60C3">
        <w:rPr>
          <w:rFonts w:eastAsia="Calibri"/>
          <w:szCs w:val="28"/>
          <w:lang w:val="uk-UA"/>
        </w:rPr>
        <w:t>наявн</w:t>
      </w:r>
      <w:r w:rsidR="00DF103F">
        <w:rPr>
          <w:rFonts w:eastAsia="Calibri"/>
          <w:szCs w:val="28"/>
          <w:lang w:val="uk-UA"/>
        </w:rPr>
        <w:t>ий</w:t>
      </w:r>
      <w:r w:rsidR="00AA60C3">
        <w:rPr>
          <w:rFonts w:eastAsia="Calibri"/>
          <w:szCs w:val="28"/>
          <w:lang w:val="uk-UA"/>
        </w:rPr>
        <w:t xml:space="preserve"> зас</w:t>
      </w:r>
      <w:r w:rsidR="00DF103F">
        <w:rPr>
          <w:rFonts w:eastAsia="Calibri"/>
          <w:szCs w:val="28"/>
          <w:lang w:val="uk-UA"/>
        </w:rPr>
        <w:t>і</w:t>
      </w:r>
      <w:r w:rsidR="00AA60C3">
        <w:rPr>
          <w:rFonts w:eastAsia="Calibri"/>
          <w:szCs w:val="28"/>
          <w:lang w:val="uk-UA"/>
        </w:rPr>
        <w:t>б обліку</w:t>
      </w:r>
      <w:r w:rsidRPr="0095635C">
        <w:rPr>
          <w:rFonts w:eastAsia="Calibri"/>
          <w:szCs w:val="28"/>
          <w:lang w:val="uk-UA"/>
        </w:rPr>
        <w:t>;</w:t>
      </w:r>
    </w:p>
    <w:p w14:paraId="09208AC9" w14:textId="2BB4D70D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ГВП: електробойлери/централізоване/інше, наявний облік;</w:t>
      </w:r>
    </w:p>
    <w:p w14:paraId="4078E5CF" w14:textId="050FCED5" w:rsidR="00255590" w:rsidRPr="0095635C" w:rsidRDefault="00255590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 w:rsidRPr="0095635C">
        <w:rPr>
          <w:rFonts w:eastAsia="Calibri"/>
          <w:szCs w:val="28"/>
          <w:lang w:val="uk-UA"/>
        </w:rPr>
        <w:t>електроенергія: наявний облік;</w:t>
      </w:r>
    </w:p>
    <w:p w14:paraId="79151727" w14:textId="5D9802EB" w:rsidR="00255590" w:rsidRPr="0095635C" w:rsidRDefault="00DF103F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ХВП: наявний</w:t>
      </w:r>
      <w:r w:rsidR="00255590" w:rsidRPr="0095635C">
        <w:rPr>
          <w:rFonts w:eastAsia="Calibri"/>
          <w:szCs w:val="28"/>
          <w:lang w:val="uk-UA"/>
        </w:rPr>
        <w:t xml:space="preserve"> облік; </w:t>
      </w:r>
    </w:p>
    <w:p w14:paraId="39263505" w14:textId="242051FA" w:rsidR="00255590" w:rsidRDefault="00D50A5E" w:rsidP="00255590">
      <w:pPr>
        <w:numPr>
          <w:ilvl w:val="0"/>
          <w:numId w:val="7"/>
        </w:numPr>
        <w:contextualSpacing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особливості: наявність басейну</w:t>
      </w:r>
      <w:r w:rsidR="00255590" w:rsidRPr="0095635C">
        <w:rPr>
          <w:rFonts w:eastAsia="Calibri"/>
          <w:szCs w:val="28"/>
          <w:lang w:val="uk-UA"/>
        </w:rPr>
        <w:t>.</w:t>
      </w:r>
      <w:bookmarkStart w:id="1" w:name="_Hlk488661658"/>
    </w:p>
    <w:p w14:paraId="09CCD26B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11B0FEEF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4E30C2CE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3FAE4A94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1C6FDF44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0AD502D5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28DA51AA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125AE958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44B67FFA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28587DB4" w14:textId="77777777" w:rsidR="00255590" w:rsidRDefault="00255590" w:rsidP="00255590">
      <w:pPr>
        <w:contextualSpacing/>
        <w:rPr>
          <w:rFonts w:eastAsia="Calibri"/>
          <w:szCs w:val="28"/>
          <w:lang w:val="uk-UA"/>
        </w:rPr>
      </w:pPr>
    </w:p>
    <w:p w14:paraId="08A77393" w14:textId="77777777" w:rsidR="00C331B4" w:rsidRDefault="00C331B4" w:rsidP="00255590">
      <w:pPr>
        <w:shd w:val="clear" w:color="auto" w:fill="FFFFFF"/>
        <w:jc w:val="right"/>
        <w:rPr>
          <w:b/>
          <w:color w:val="000000"/>
          <w:szCs w:val="28"/>
          <w:lang w:val="uk-UA"/>
        </w:rPr>
      </w:pPr>
    </w:p>
    <w:p w14:paraId="1B098AF2" w14:textId="77777777" w:rsidR="00C331B4" w:rsidRDefault="00C331B4" w:rsidP="00255590">
      <w:pPr>
        <w:shd w:val="clear" w:color="auto" w:fill="FFFFFF"/>
        <w:jc w:val="right"/>
        <w:rPr>
          <w:b/>
          <w:color w:val="000000"/>
          <w:szCs w:val="28"/>
          <w:lang w:val="uk-UA"/>
        </w:rPr>
      </w:pPr>
    </w:p>
    <w:p w14:paraId="582436C3" w14:textId="77777777" w:rsidR="00C331B4" w:rsidRDefault="00C331B4" w:rsidP="00255590">
      <w:pPr>
        <w:shd w:val="clear" w:color="auto" w:fill="FFFFFF"/>
        <w:jc w:val="right"/>
        <w:rPr>
          <w:b/>
          <w:color w:val="000000"/>
          <w:szCs w:val="28"/>
          <w:lang w:val="uk-UA"/>
        </w:rPr>
      </w:pPr>
    </w:p>
    <w:p w14:paraId="0055B04F" w14:textId="77777777" w:rsidR="00C331B4" w:rsidRDefault="00C331B4" w:rsidP="00255590">
      <w:pPr>
        <w:shd w:val="clear" w:color="auto" w:fill="FFFFFF"/>
        <w:jc w:val="right"/>
        <w:rPr>
          <w:b/>
          <w:color w:val="000000"/>
          <w:szCs w:val="28"/>
          <w:lang w:val="uk-UA"/>
        </w:rPr>
      </w:pPr>
    </w:p>
    <w:p w14:paraId="72597587" w14:textId="77777777" w:rsidR="00C331B4" w:rsidRDefault="00C331B4" w:rsidP="00255590">
      <w:pPr>
        <w:shd w:val="clear" w:color="auto" w:fill="FFFFFF"/>
        <w:jc w:val="right"/>
        <w:rPr>
          <w:b/>
          <w:color w:val="000000"/>
          <w:szCs w:val="28"/>
          <w:lang w:val="uk-UA"/>
        </w:rPr>
      </w:pPr>
    </w:p>
    <w:p w14:paraId="65DB1ABC" w14:textId="77777777" w:rsidR="00255590" w:rsidRPr="00C06F4A" w:rsidRDefault="00255590" w:rsidP="00255590">
      <w:pPr>
        <w:shd w:val="clear" w:color="auto" w:fill="FFFFFF"/>
        <w:jc w:val="right"/>
        <w:rPr>
          <w:b/>
          <w:color w:val="000000"/>
          <w:szCs w:val="28"/>
          <w:lang w:val="uk-UA"/>
        </w:rPr>
      </w:pPr>
      <w:r w:rsidRPr="00C06F4A">
        <w:rPr>
          <w:b/>
          <w:color w:val="000000"/>
          <w:szCs w:val="28"/>
          <w:lang w:val="uk-UA"/>
        </w:rPr>
        <w:t xml:space="preserve">Додаток   </w:t>
      </w:r>
      <w:r>
        <w:rPr>
          <w:b/>
          <w:color w:val="000000"/>
          <w:szCs w:val="28"/>
          <w:lang w:val="uk-UA"/>
        </w:rPr>
        <w:t>№ __</w:t>
      </w:r>
      <w:r w:rsidRPr="00C06F4A">
        <w:rPr>
          <w:b/>
          <w:color w:val="000000"/>
          <w:szCs w:val="28"/>
          <w:lang w:val="uk-UA"/>
        </w:rPr>
        <w:t xml:space="preserve"> до    </w:t>
      </w:r>
    </w:p>
    <w:p w14:paraId="219D8EEB" w14:textId="77777777" w:rsidR="00255590" w:rsidRPr="00C06F4A" w:rsidRDefault="00255590" w:rsidP="00255590">
      <w:pPr>
        <w:shd w:val="clear" w:color="auto" w:fill="FFFFFF"/>
        <w:tabs>
          <w:tab w:val="left" w:pos="220"/>
          <w:tab w:val="left" w:pos="6365"/>
        </w:tabs>
        <w:jc w:val="right"/>
        <w:rPr>
          <w:color w:val="000000"/>
          <w:szCs w:val="28"/>
          <w:lang w:val="uk-UA"/>
        </w:rPr>
      </w:pPr>
      <w:r w:rsidRPr="00C06F4A">
        <w:rPr>
          <w:b/>
          <w:color w:val="000000"/>
          <w:szCs w:val="28"/>
          <w:lang w:val="uk-UA"/>
        </w:rPr>
        <w:t xml:space="preserve">                                                                                 від "__"  _______ № ________</w:t>
      </w:r>
      <w:r w:rsidRPr="00C06F4A">
        <w:rPr>
          <w:color w:val="000000"/>
          <w:szCs w:val="28"/>
          <w:lang w:val="uk-UA"/>
        </w:rPr>
        <w:t xml:space="preserve"> </w:t>
      </w:r>
    </w:p>
    <w:p w14:paraId="34808113" w14:textId="77777777" w:rsidR="00255590" w:rsidRDefault="00255590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40E4761E" w14:textId="77777777" w:rsidR="00255590" w:rsidRPr="00532231" w:rsidRDefault="00255590" w:rsidP="00255590">
      <w:pPr>
        <w:pStyle w:val="Text"/>
        <w:ind w:left="78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231">
        <w:rPr>
          <w:rFonts w:ascii="Times New Roman" w:hAnsi="Times New Roman"/>
          <w:b/>
          <w:color w:val="000000"/>
          <w:sz w:val="28"/>
          <w:szCs w:val="28"/>
        </w:rPr>
        <w:t>Форма «Цінова пропозиція» подається у вигляді, наведеному нижче</w:t>
      </w:r>
    </w:p>
    <w:p w14:paraId="179429ED" w14:textId="77777777" w:rsidR="00255590" w:rsidRPr="003F3F13" w:rsidRDefault="00255590" w:rsidP="00255590">
      <w:pPr>
        <w:pStyle w:val="Text"/>
        <w:ind w:left="426"/>
        <w:jc w:val="center"/>
        <w:rPr>
          <w:rFonts w:ascii="Times New Roman" w:hAnsi="Times New Roman"/>
          <w:sz w:val="26"/>
          <w:szCs w:val="26"/>
        </w:rPr>
      </w:pPr>
      <w:r w:rsidRPr="003F3F13">
        <w:rPr>
          <w:rFonts w:ascii="Times New Roman" w:hAnsi="Times New Roman"/>
          <w:sz w:val="26"/>
          <w:szCs w:val="26"/>
        </w:rPr>
        <w:t>(Бланк організації – Учасника)</w:t>
      </w:r>
    </w:p>
    <w:p w14:paraId="2A193873" w14:textId="77777777" w:rsidR="00255590" w:rsidRPr="003F3F13" w:rsidRDefault="00255590" w:rsidP="00255590">
      <w:pPr>
        <w:jc w:val="right"/>
        <w:rPr>
          <w:sz w:val="26"/>
          <w:szCs w:val="26"/>
          <w:lang w:val="uk-UA"/>
        </w:rPr>
      </w:pPr>
      <w:r w:rsidRPr="003F3F13">
        <w:rPr>
          <w:sz w:val="26"/>
          <w:szCs w:val="26"/>
          <w:lang w:val="uk-UA"/>
        </w:rPr>
        <w:t xml:space="preserve">«___» ____________ 2019 р. </w:t>
      </w:r>
    </w:p>
    <w:p w14:paraId="249754F8" w14:textId="77777777" w:rsidR="00255590" w:rsidRPr="003F3F13" w:rsidRDefault="00255590" w:rsidP="00255590">
      <w:pPr>
        <w:widowControl w:val="0"/>
        <w:ind w:firstLine="709"/>
        <w:jc w:val="center"/>
        <w:outlineLvl w:val="0"/>
        <w:rPr>
          <w:b/>
          <w:sz w:val="26"/>
          <w:szCs w:val="26"/>
          <w:lang w:val="uk-UA"/>
        </w:rPr>
      </w:pPr>
    </w:p>
    <w:p w14:paraId="5CA3629E" w14:textId="77777777" w:rsidR="00255590" w:rsidRPr="003F3F13" w:rsidRDefault="00255590" w:rsidP="00255590">
      <w:pPr>
        <w:widowControl w:val="0"/>
        <w:ind w:firstLine="709"/>
        <w:jc w:val="center"/>
        <w:outlineLvl w:val="0"/>
        <w:rPr>
          <w:b/>
          <w:sz w:val="26"/>
          <w:szCs w:val="26"/>
          <w:lang w:val="uk-UA"/>
        </w:rPr>
      </w:pPr>
      <w:r w:rsidRPr="003F3F13">
        <w:rPr>
          <w:b/>
          <w:sz w:val="26"/>
          <w:szCs w:val="26"/>
          <w:lang w:val="uk-UA"/>
        </w:rPr>
        <w:t>ФОРМА «ЦІНОВА ПРОПОЗИЦІЯ»</w:t>
      </w:r>
    </w:p>
    <w:p w14:paraId="030B2DE8" w14:textId="77777777" w:rsidR="00255590" w:rsidRPr="003F3F13" w:rsidRDefault="00255590" w:rsidP="00255590">
      <w:pPr>
        <w:widowControl w:val="0"/>
        <w:ind w:firstLine="709"/>
        <w:jc w:val="center"/>
        <w:outlineLvl w:val="0"/>
        <w:rPr>
          <w:b/>
          <w:sz w:val="26"/>
          <w:szCs w:val="2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255590" w:rsidRPr="003F3F13" w14:paraId="3B1A964B" w14:textId="77777777" w:rsidTr="00D50A5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BCF9" w14:textId="77777777" w:rsidR="00255590" w:rsidRPr="003F3F13" w:rsidRDefault="00255590" w:rsidP="001D6B10">
            <w:pPr>
              <w:tabs>
                <w:tab w:val="left" w:pos="21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F3F13">
              <w:rPr>
                <w:b/>
                <w:sz w:val="26"/>
                <w:szCs w:val="26"/>
                <w:lang w:val="uk-UA"/>
              </w:rPr>
              <w:t>Відомості про учасника процедури конкурсу</w:t>
            </w:r>
          </w:p>
        </w:tc>
      </w:tr>
      <w:tr w:rsidR="00255590" w:rsidRPr="003F3F13" w14:paraId="797BAE19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9311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Повне найменування  учасника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227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255590" w:rsidRPr="003F3F13" w14:paraId="71D0C78C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DFB5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882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255590" w:rsidRPr="003F3F13" w14:paraId="758DEBA0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DAB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40A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255590" w:rsidRPr="003F3F13" w14:paraId="129DBDA2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4D0A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Місце знаходження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5278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255590" w:rsidRPr="003F3F13" w14:paraId="256F527C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A2E1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Форма власності та юридичний статус підприємства (організації)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FF8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255590" w:rsidRPr="003F3F13" w14:paraId="19174856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2B06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Коротка довідка про діяльність фірми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60F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255590" w:rsidRPr="003F3F13" w14:paraId="72C6F976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BA86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Строки виконання робіт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1C2" w14:textId="77777777" w:rsidR="00255590" w:rsidRPr="003F3F13" w:rsidRDefault="00255590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D50A5E" w:rsidRPr="003F3F13" w14:paraId="57330296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29D7" w14:textId="40C2B919" w:rsidR="00D50A5E" w:rsidRPr="003F3F13" w:rsidRDefault="00D50A5E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Особа, відповідальна за участь у конкурсі (ПІБ, посада, контактні телефони)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E41" w14:textId="77777777" w:rsidR="00D50A5E" w:rsidRPr="003F3F13" w:rsidRDefault="00D50A5E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D50A5E" w:rsidRPr="003F3F13" w14:paraId="1511B178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1F90" w14:textId="07B5DA21" w:rsidR="00D50A5E" w:rsidRPr="003F3F13" w:rsidRDefault="00D50A5E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Факс та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6CE" w14:textId="77777777" w:rsidR="00D50A5E" w:rsidRPr="003F3F13" w:rsidRDefault="00D50A5E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D50A5E" w:rsidRPr="003F3F13" w14:paraId="6140C22D" w14:textId="77777777" w:rsidTr="00D50A5E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F9E5" w14:textId="030DB56F" w:rsidR="00D50A5E" w:rsidRPr="003F3F13" w:rsidRDefault="00D50A5E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>Електронна 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3F6" w14:textId="77777777" w:rsidR="00D50A5E" w:rsidRPr="003F3F13" w:rsidRDefault="00D50A5E" w:rsidP="001D6B10">
            <w:pPr>
              <w:pStyle w:val="1"/>
              <w:widowControl w:val="0"/>
              <w:spacing w:line="240" w:lineRule="auto"/>
              <w:ind w:right="113" w:hanging="2"/>
              <w:jc w:val="both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</w:tr>
      <w:tr w:rsidR="00D50A5E" w:rsidRPr="003F3F13" w14:paraId="4185F562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2213" w14:textId="60091A4F" w:rsidR="00D50A5E" w:rsidRPr="003F3F13" w:rsidRDefault="00D50A5E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 xml:space="preserve">Інша інформація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1B1" w14:textId="77777777" w:rsidR="00D50A5E" w:rsidRPr="003F3F13" w:rsidRDefault="00D50A5E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D50A5E" w:rsidRPr="003F3F13" w14:paraId="4E85739B" w14:textId="77777777" w:rsidTr="00D50A5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8186" w14:textId="231AD399" w:rsidR="00D50A5E" w:rsidRPr="003F3F13" w:rsidRDefault="00D50A5E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  <w:r w:rsidRPr="003F3F13">
              <w:rPr>
                <w:b/>
                <w:sz w:val="26"/>
                <w:szCs w:val="26"/>
                <w:lang w:val="uk-UA"/>
              </w:rPr>
              <w:t xml:space="preserve">Цінова пропозиція </w:t>
            </w:r>
          </w:p>
        </w:tc>
        <w:tc>
          <w:tcPr>
            <w:tcW w:w="3260" w:type="dxa"/>
          </w:tcPr>
          <w:p w14:paraId="2C2CD21D" w14:textId="77777777" w:rsidR="00D50A5E" w:rsidRPr="003F3F13" w:rsidRDefault="00D50A5E" w:rsidP="001D6B10">
            <w:pPr>
              <w:tabs>
                <w:tab w:val="left" w:pos="2160"/>
              </w:tabs>
              <w:rPr>
                <w:sz w:val="26"/>
                <w:szCs w:val="26"/>
                <w:lang w:val="uk-UA"/>
              </w:rPr>
            </w:pPr>
          </w:p>
        </w:tc>
      </w:tr>
      <w:tr w:rsidR="00D50A5E" w:rsidRPr="003F3F13" w14:paraId="4EE7AF0A" w14:textId="77777777" w:rsidTr="00D50A5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C208" w14:textId="026DE3F0" w:rsidR="00D50A5E" w:rsidRPr="00E208F6" w:rsidRDefault="00D50A5E" w:rsidP="001D6B10">
            <w:pPr>
              <w:pStyle w:val="a3"/>
              <w:ind w:firstLine="0"/>
              <w:rPr>
                <w:szCs w:val="28"/>
              </w:rPr>
            </w:pPr>
            <w:r w:rsidRPr="003F3F13">
              <w:rPr>
                <w:sz w:val="26"/>
                <w:szCs w:val="26"/>
              </w:rPr>
              <w:t xml:space="preserve">Ми, ______________________________________________(повне найменування учасника), надаємо свою пропозицію щодо участі у конкурсі на закупівлю </w:t>
            </w:r>
            <w:r w:rsidR="004B0B6E">
              <w:rPr>
                <w:sz w:val="26"/>
                <w:szCs w:val="26"/>
              </w:rPr>
              <w:t>послуг проведення енергетичного аудиту</w:t>
            </w:r>
            <w:r w:rsidRPr="003F3F13">
              <w:rPr>
                <w:sz w:val="26"/>
                <w:szCs w:val="26"/>
              </w:rPr>
              <w:t xml:space="preserve"> по об’єкту: </w:t>
            </w:r>
            <w:r w:rsidRPr="00255590">
              <w:rPr>
                <w:sz w:val="26"/>
                <w:szCs w:val="26"/>
              </w:rPr>
              <w:t>дошкільного навчального закладу (ясла-садок) комбінованого типу «Зірочка»</w:t>
            </w:r>
            <w:r>
              <w:rPr>
                <w:sz w:val="26"/>
                <w:szCs w:val="26"/>
              </w:rPr>
              <w:t xml:space="preserve"> </w:t>
            </w:r>
            <w:r w:rsidRPr="003F3F13">
              <w:rPr>
                <w:sz w:val="26"/>
                <w:szCs w:val="26"/>
              </w:rPr>
              <w:t>згідно з технічними та іншими вимогами Замовника.</w:t>
            </w:r>
          </w:p>
          <w:p w14:paraId="70B0EFAD" w14:textId="11747A28" w:rsidR="00D50A5E" w:rsidRPr="003F3F13" w:rsidRDefault="00D50A5E" w:rsidP="005A2896">
            <w:pPr>
              <w:tabs>
                <w:tab w:val="left" w:pos="2160"/>
              </w:tabs>
              <w:rPr>
                <w:b/>
                <w:sz w:val="26"/>
                <w:szCs w:val="26"/>
                <w:lang w:val="uk-UA"/>
              </w:rPr>
            </w:pPr>
            <w:r w:rsidRPr="003F3F13">
              <w:rPr>
                <w:sz w:val="26"/>
                <w:szCs w:val="26"/>
                <w:lang w:val="uk-UA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</w:t>
            </w:r>
            <w:r w:rsidR="005A2896">
              <w:rPr>
                <w:sz w:val="26"/>
                <w:szCs w:val="26"/>
                <w:lang w:val="uk-UA"/>
              </w:rPr>
              <w:t>послуги</w:t>
            </w:r>
            <w:r w:rsidRPr="003F3F13">
              <w:rPr>
                <w:sz w:val="26"/>
                <w:szCs w:val="26"/>
                <w:lang w:val="uk-UA"/>
              </w:rPr>
              <w:t xml:space="preserve"> по даному предмету конкурсу та визначили, що наша пропозиція складає _________________ (числом) ________________________________________ (прописом) грн</w:t>
            </w:r>
            <w:r w:rsidRPr="003F3F13">
              <w:rPr>
                <w:color w:val="FF0000"/>
                <w:sz w:val="26"/>
                <w:szCs w:val="26"/>
                <w:lang w:val="uk-UA"/>
              </w:rPr>
              <w:t>.</w:t>
            </w:r>
            <w:r w:rsidRPr="003F3F13">
              <w:rPr>
                <w:sz w:val="26"/>
                <w:szCs w:val="26"/>
                <w:lang w:val="uk-UA"/>
              </w:rPr>
              <w:t xml:space="preserve"> (без ПДВ) </w:t>
            </w:r>
          </w:p>
        </w:tc>
      </w:tr>
      <w:tr w:rsidR="00D50A5E" w:rsidRPr="003F3F13" w14:paraId="68CA05D3" w14:textId="77777777" w:rsidTr="00D50A5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AE7" w14:textId="1B774AA0" w:rsidR="00D50A5E" w:rsidRPr="003F3F13" w:rsidRDefault="00D50A5E" w:rsidP="001D6B10">
            <w:pPr>
              <w:widowControl w:val="0"/>
              <w:autoSpaceDE w:val="0"/>
              <w:autoSpaceDN w:val="0"/>
              <w:adjustRightInd w:val="0"/>
              <w:ind w:firstLine="743"/>
              <w:rPr>
                <w:color w:val="FF0000"/>
                <w:sz w:val="26"/>
                <w:szCs w:val="26"/>
                <w:lang w:val="uk-UA"/>
              </w:rPr>
            </w:pPr>
          </w:p>
        </w:tc>
      </w:tr>
    </w:tbl>
    <w:p w14:paraId="294E5B8D" w14:textId="77777777" w:rsidR="00255590" w:rsidRPr="003F3F13" w:rsidRDefault="00255590" w:rsidP="00255590">
      <w:pPr>
        <w:pStyle w:val="a6"/>
        <w:rPr>
          <w:sz w:val="26"/>
          <w:szCs w:val="26"/>
        </w:rPr>
      </w:pPr>
    </w:p>
    <w:p w14:paraId="3E1AF947" w14:textId="77777777" w:rsidR="00255590" w:rsidRPr="003F3F13" w:rsidRDefault="00255590" w:rsidP="00255590">
      <w:pPr>
        <w:pStyle w:val="a6"/>
        <w:rPr>
          <w:sz w:val="26"/>
          <w:szCs w:val="26"/>
        </w:rPr>
      </w:pPr>
    </w:p>
    <w:p w14:paraId="2BD9F674" w14:textId="77777777" w:rsidR="00255590" w:rsidRDefault="00255590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63D09BED" w14:textId="77777777" w:rsidR="00255590" w:rsidRDefault="00255590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54FAC07E" w14:textId="77777777" w:rsidR="00255590" w:rsidRDefault="00255590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32B7831B" w14:textId="77777777" w:rsidR="00255590" w:rsidRDefault="00255590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7BE92C67" w14:textId="77777777" w:rsidR="00E87B9B" w:rsidRDefault="00E87B9B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3B595F08" w14:textId="77777777" w:rsidR="00E87B9B" w:rsidRDefault="00E87B9B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6E9F9A3C" w14:textId="77777777" w:rsidR="00E87B9B" w:rsidRDefault="00E87B9B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7BECD1F3" w14:textId="77777777" w:rsidR="00E87B9B" w:rsidRDefault="00E87B9B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473F55AE" w14:textId="77777777" w:rsidR="00E87B9B" w:rsidRDefault="00E87B9B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5F53FDF1" w14:textId="77777777" w:rsidR="00E87B9B" w:rsidRDefault="00E87B9B" w:rsidP="00E87B9B">
      <w:pPr>
        <w:contextualSpacing/>
        <w:jc w:val="right"/>
        <w:rPr>
          <w:rFonts w:eastAsia="Calibri"/>
          <w:szCs w:val="28"/>
          <w:lang w:val="uk-UA"/>
        </w:rPr>
      </w:pPr>
    </w:p>
    <w:p w14:paraId="3441EE07" w14:textId="77777777" w:rsidR="00E87B9B" w:rsidRPr="00C06F4A" w:rsidRDefault="00E87B9B" w:rsidP="00E87B9B">
      <w:pPr>
        <w:shd w:val="clear" w:color="auto" w:fill="FFFFFF"/>
        <w:jc w:val="right"/>
        <w:rPr>
          <w:b/>
          <w:color w:val="000000"/>
          <w:szCs w:val="28"/>
          <w:lang w:val="uk-UA"/>
        </w:rPr>
      </w:pPr>
      <w:r w:rsidRPr="00C06F4A">
        <w:rPr>
          <w:b/>
          <w:color w:val="000000"/>
          <w:szCs w:val="28"/>
          <w:lang w:val="uk-UA"/>
        </w:rPr>
        <w:t xml:space="preserve">Додаток   </w:t>
      </w:r>
      <w:r>
        <w:rPr>
          <w:b/>
          <w:color w:val="000000"/>
          <w:szCs w:val="28"/>
          <w:lang w:val="uk-UA"/>
        </w:rPr>
        <w:t>№ _</w:t>
      </w:r>
      <w:r w:rsidRPr="00C06F4A">
        <w:rPr>
          <w:b/>
          <w:color w:val="000000"/>
          <w:szCs w:val="28"/>
          <w:lang w:val="uk-UA"/>
        </w:rPr>
        <w:t xml:space="preserve">  до    </w:t>
      </w:r>
    </w:p>
    <w:p w14:paraId="60555676" w14:textId="77777777" w:rsidR="00E87B9B" w:rsidRPr="00C06F4A" w:rsidRDefault="00E87B9B" w:rsidP="00E87B9B">
      <w:pPr>
        <w:shd w:val="clear" w:color="auto" w:fill="FFFFFF"/>
        <w:tabs>
          <w:tab w:val="left" w:pos="220"/>
          <w:tab w:val="left" w:pos="6365"/>
        </w:tabs>
        <w:jc w:val="right"/>
        <w:rPr>
          <w:color w:val="000000"/>
          <w:szCs w:val="28"/>
          <w:lang w:val="uk-UA"/>
        </w:rPr>
      </w:pPr>
      <w:r w:rsidRPr="00C06F4A">
        <w:rPr>
          <w:b/>
          <w:color w:val="000000"/>
          <w:szCs w:val="28"/>
          <w:lang w:val="uk-UA"/>
        </w:rPr>
        <w:t xml:space="preserve">                                                                                 від "__"  _______ № ________</w:t>
      </w:r>
      <w:r w:rsidRPr="00C06F4A">
        <w:rPr>
          <w:color w:val="000000"/>
          <w:szCs w:val="28"/>
          <w:lang w:val="uk-UA"/>
        </w:rPr>
        <w:t xml:space="preserve"> </w:t>
      </w:r>
    </w:p>
    <w:p w14:paraId="44E2D77D" w14:textId="77777777" w:rsidR="00E87B9B" w:rsidRDefault="00E87B9B" w:rsidP="00E87B9B">
      <w:pPr>
        <w:contextualSpacing/>
        <w:jc w:val="right"/>
        <w:rPr>
          <w:rFonts w:eastAsia="Calibri"/>
          <w:szCs w:val="28"/>
          <w:lang w:val="uk-UA"/>
        </w:rPr>
      </w:pPr>
    </w:p>
    <w:p w14:paraId="4D71C275" w14:textId="77777777" w:rsidR="00E87B9B" w:rsidRPr="004E55FE" w:rsidRDefault="00E87B9B" w:rsidP="00E87B9B">
      <w:pPr>
        <w:ind w:firstLine="360"/>
        <w:jc w:val="center"/>
        <w:rPr>
          <w:b/>
          <w:szCs w:val="28"/>
          <w:lang w:val="uk-UA"/>
        </w:rPr>
      </w:pPr>
      <w:r w:rsidRPr="004E55FE">
        <w:rPr>
          <w:b/>
          <w:szCs w:val="28"/>
          <w:lang w:val="uk-UA"/>
        </w:rPr>
        <w:t>Методика оцінки конкурсних пропозицій</w:t>
      </w:r>
    </w:p>
    <w:p w14:paraId="203DD97F" w14:textId="77777777" w:rsidR="00E87B9B" w:rsidRPr="004E55FE" w:rsidRDefault="00E87B9B" w:rsidP="00E87B9B">
      <w:pPr>
        <w:ind w:firstLine="360"/>
        <w:rPr>
          <w:szCs w:val="28"/>
          <w:lang w:val="uk-UA"/>
        </w:rPr>
      </w:pPr>
    </w:p>
    <w:p w14:paraId="7FCDB28D" w14:textId="77777777" w:rsidR="00E87B9B" w:rsidRPr="004E55FE" w:rsidRDefault="00E87B9B" w:rsidP="00E87B9B">
      <w:pPr>
        <w:ind w:firstLine="360"/>
        <w:jc w:val="both"/>
        <w:rPr>
          <w:i/>
          <w:szCs w:val="28"/>
          <w:lang w:val="uk-UA"/>
        </w:rPr>
      </w:pPr>
      <w:r w:rsidRPr="004E55FE">
        <w:rPr>
          <w:szCs w:val="28"/>
          <w:lang w:val="uk-UA"/>
        </w:rPr>
        <w:t>Показники критеріїв беруться з конкурсних пропозицій Учасників.</w:t>
      </w:r>
    </w:p>
    <w:p w14:paraId="1147CE20" w14:textId="77777777" w:rsidR="00E87B9B" w:rsidRPr="004E55FE" w:rsidRDefault="00E87B9B" w:rsidP="00E87B9B">
      <w:pPr>
        <w:ind w:firstLine="360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Максимально можлива кількість балів дорівнює 100 балам.</w:t>
      </w:r>
    </w:p>
    <w:p w14:paraId="0ABB61B1" w14:textId="77777777" w:rsidR="00E87B9B" w:rsidRPr="004E55FE" w:rsidRDefault="00E87B9B" w:rsidP="00E87B9B">
      <w:pPr>
        <w:ind w:firstLine="360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За кожним критерієм визначається бальна оцінка:</w:t>
      </w:r>
    </w:p>
    <w:p w14:paraId="519F8264" w14:textId="77777777" w:rsidR="00E87B9B" w:rsidRPr="004E55FE" w:rsidRDefault="00E87B9B" w:rsidP="00E87B9B">
      <w:pPr>
        <w:ind w:firstLine="360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1) Кількість балів за критерієм «Ціна» визначається наступним чином:</w:t>
      </w:r>
    </w:p>
    <w:p w14:paraId="6F5A0DEB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Пропозиції конкурсних торгів, ціна якої найвигідніша (найменша), присвоюється максимально можлива кількість балів (до 70 включно). Кількість балів для решти пропозицій конкурсних торгів визначається за формулою:</w:t>
      </w:r>
    </w:p>
    <w:p w14:paraId="6CD4D72C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Б</w:t>
      </w:r>
      <w:r w:rsidRPr="004E55FE">
        <w:rPr>
          <w:szCs w:val="28"/>
          <w:vertAlign w:val="subscript"/>
          <w:lang w:val="uk-UA"/>
        </w:rPr>
        <w:t>обчисл</w:t>
      </w:r>
      <w:r w:rsidRPr="004E55FE">
        <w:rPr>
          <w:szCs w:val="28"/>
          <w:lang w:val="uk-UA"/>
        </w:rPr>
        <w:t xml:space="preserve">  = Ц</w:t>
      </w:r>
      <w:r w:rsidRPr="004E55FE">
        <w:rPr>
          <w:szCs w:val="28"/>
          <w:vertAlign w:val="subscript"/>
          <w:lang w:val="uk-UA"/>
        </w:rPr>
        <w:t>min</w:t>
      </w:r>
      <w:r w:rsidRPr="004E55FE">
        <w:rPr>
          <w:szCs w:val="28"/>
          <w:lang w:val="uk-UA"/>
        </w:rPr>
        <w:t>/Ц</w:t>
      </w:r>
      <w:r w:rsidRPr="004E55FE">
        <w:rPr>
          <w:szCs w:val="28"/>
          <w:vertAlign w:val="subscript"/>
          <w:lang w:val="uk-UA"/>
        </w:rPr>
        <w:t xml:space="preserve">обчисл </w:t>
      </w:r>
      <w:r w:rsidRPr="004E55FE">
        <w:rPr>
          <w:szCs w:val="28"/>
          <w:lang w:val="uk-UA"/>
        </w:rPr>
        <w:t>х 70, де</w:t>
      </w:r>
    </w:p>
    <w:p w14:paraId="3C4F94EB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Б</w:t>
      </w:r>
      <w:r w:rsidRPr="004E55FE">
        <w:rPr>
          <w:szCs w:val="28"/>
          <w:vertAlign w:val="subscript"/>
          <w:lang w:val="uk-UA"/>
        </w:rPr>
        <w:t>обчисл</w:t>
      </w:r>
      <w:r w:rsidRPr="004E55FE">
        <w:rPr>
          <w:szCs w:val="28"/>
          <w:lang w:val="uk-UA"/>
        </w:rPr>
        <w:t xml:space="preserve"> – обчислювана кількість балів;</w:t>
      </w:r>
    </w:p>
    <w:p w14:paraId="5410BE6E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Ц</w:t>
      </w:r>
      <w:r w:rsidRPr="004E55FE">
        <w:rPr>
          <w:szCs w:val="28"/>
          <w:vertAlign w:val="subscript"/>
          <w:lang w:val="uk-UA"/>
        </w:rPr>
        <w:t xml:space="preserve">min     </w:t>
      </w:r>
      <w:r w:rsidRPr="004E55FE">
        <w:rPr>
          <w:szCs w:val="28"/>
          <w:lang w:val="uk-UA"/>
        </w:rPr>
        <w:t xml:space="preserve"> – найвигідніша (найменша) ціна;</w:t>
      </w:r>
    </w:p>
    <w:p w14:paraId="2166719B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Ц</w:t>
      </w:r>
      <w:r w:rsidRPr="004E55FE">
        <w:rPr>
          <w:szCs w:val="28"/>
          <w:vertAlign w:val="subscript"/>
          <w:lang w:val="uk-UA"/>
        </w:rPr>
        <w:t>обчисл</w:t>
      </w:r>
      <w:r w:rsidRPr="004E55FE">
        <w:rPr>
          <w:szCs w:val="28"/>
          <w:lang w:val="uk-UA"/>
        </w:rPr>
        <w:t xml:space="preserve"> – ціна пропозиції конкурсних торгів, кількість балів для якої обчислюється;</w:t>
      </w:r>
    </w:p>
    <w:p w14:paraId="72211382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70 – максимально можлива кількість балів за критерієм «Ціна».</w:t>
      </w:r>
    </w:p>
    <w:p w14:paraId="79F65803" w14:textId="7A360A74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Одиниця виміру за критерієм «Ціна» (з усіма податками та зборами) – гривня</w:t>
      </w:r>
      <w:r>
        <w:rPr>
          <w:szCs w:val="28"/>
          <w:lang w:val="uk-UA"/>
        </w:rPr>
        <w:t>.</w:t>
      </w:r>
    </w:p>
    <w:p w14:paraId="7A9B599B" w14:textId="77777777" w:rsidR="00E87B9B" w:rsidRPr="004E55FE" w:rsidRDefault="00E87B9B" w:rsidP="00E87B9B">
      <w:pPr>
        <w:ind w:firstLine="360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 xml:space="preserve">2) Кількість балів за критерієм «Строк виконання» визначається наступним чином: </w:t>
      </w:r>
    </w:p>
    <w:p w14:paraId="34C98C84" w14:textId="77777777" w:rsidR="00E87B9B" w:rsidRPr="004E55FE" w:rsidRDefault="00E87B9B" w:rsidP="00E87B9B">
      <w:pPr>
        <w:ind w:firstLine="360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 xml:space="preserve">Пропозиції конкурсних торгів, строк виконання послуг в якій найвигідніший (найкоротший), присвоюється максимально можлива кількість балів (до 10 включно). Кількість балів для решти пропозицій конкурсних торгів визначається за формулою: </w:t>
      </w:r>
    </w:p>
    <w:p w14:paraId="33206B83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Б</w:t>
      </w:r>
      <w:r w:rsidRPr="004E55FE">
        <w:rPr>
          <w:szCs w:val="28"/>
          <w:vertAlign w:val="subscript"/>
          <w:lang w:val="uk-UA"/>
        </w:rPr>
        <w:t>обчисл</w:t>
      </w:r>
      <w:r w:rsidRPr="004E55FE">
        <w:rPr>
          <w:szCs w:val="28"/>
          <w:lang w:val="uk-UA"/>
        </w:rPr>
        <w:t xml:space="preserve"> = Т</w:t>
      </w:r>
      <w:r w:rsidRPr="004E55FE">
        <w:rPr>
          <w:szCs w:val="28"/>
          <w:vertAlign w:val="subscript"/>
          <w:lang w:val="uk-UA"/>
        </w:rPr>
        <w:t>min</w:t>
      </w:r>
      <w:r w:rsidRPr="004E55FE">
        <w:rPr>
          <w:szCs w:val="28"/>
          <w:lang w:val="uk-UA"/>
        </w:rPr>
        <w:t xml:space="preserve"> /Т</w:t>
      </w:r>
      <w:r w:rsidRPr="004E55FE">
        <w:rPr>
          <w:szCs w:val="28"/>
          <w:vertAlign w:val="subscript"/>
          <w:lang w:val="uk-UA"/>
        </w:rPr>
        <w:t>обчисл</w:t>
      </w:r>
      <w:r w:rsidRPr="004E55FE">
        <w:rPr>
          <w:szCs w:val="28"/>
          <w:lang w:val="uk-UA"/>
        </w:rPr>
        <w:t xml:space="preserve"> х 10, де </w:t>
      </w:r>
    </w:p>
    <w:p w14:paraId="7DC945F8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Б</w:t>
      </w:r>
      <w:r w:rsidRPr="004E55FE">
        <w:rPr>
          <w:szCs w:val="28"/>
          <w:vertAlign w:val="subscript"/>
          <w:lang w:val="uk-UA"/>
        </w:rPr>
        <w:t xml:space="preserve">обчисл </w:t>
      </w:r>
      <w:r w:rsidRPr="004E55FE">
        <w:rPr>
          <w:szCs w:val="28"/>
          <w:lang w:val="uk-UA"/>
        </w:rPr>
        <w:t xml:space="preserve"> – обчислювана кількість балів;</w:t>
      </w:r>
    </w:p>
    <w:p w14:paraId="2D8E42F1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Т</w:t>
      </w:r>
      <w:r w:rsidRPr="004E55FE">
        <w:rPr>
          <w:szCs w:val="28"/>
          <w:vertAlign w:val="subscript"/>
          <w:lang w:val="uk-UA"/>
        </w:rPr>
        <w:t>min</w:t>
      </w:r>
      <w:r w:rsidRPr="004E55FE">
        <w:rPr>
          <w:szCs w:val="28"/>
          <w:lang w:val="uk-UA"/>
        </w:rPr>
        <w:t xml:space="preserve"> – найвигідніший (найкоротший) строк виконання послуг;</w:t>
      </w:r>
    </w:p>
    <w:p w14:paraId="45AAD72A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Т</w:t>
      </w:r>
      <w:r w:rsidRPr="004E55FE">
        <w:rPr>
          <w:szCs w:val="28"/>
          <w:vertAlign w:val="subscript"/>
          <w:lang w:val="uk-UA"/>
        </w:rPr>
        <w:t>обчисл</w:t>
      </w:r>
      <w:r w:rsidRPr="004E55FE">
        <w:rPr>
          <w:szCs w:val="28"/>
          <w:lang w:val="uk-UA"/>
        </w:rPr>
        <w:t xml:space="preserve"> – строк виконання послуг, зазначений в пропозиції конкурсних торгів, кількість балів для якої обчислюється;</w:t>
      </w:r>
    </w:p>
    <w:p w14:paraId="460D4844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10 – максимально можлива кількість балів за критерієм «Строк виконання».</w:t>
      </w:r>
    </w:p>
    <w:p w14:paraId="069A22A9" w14:textId="77777777" w:rsidR="00E87B9B" w:rsidRPr="004E55FE" w:rsidRDefault="00E87B9B" w:rsidP="00E87B9B">
      <w:pPr>
        <w:ind w:firstLine="360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Одиниця виміру за критерієм «Строк виконання» – календарний день.</w:t>
      </w:r>
    </w:p>
    <w:p w14:paraId="62306B95" w14:textId="77777777" w:rsidR="00E87B9B" w:rsidRPr="004E55FE" w:rsidRDefault="00E87B9B" w:rsidP="00E87B9B">
      <w:pPr>
        <w:ind w:firstLine="360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3) Кількість балів за критерієм «наявність</w:t>
      </w:r>
      <w:r w:rsidRPr="004E55FE">
        <w:rPr>
          <w:iCs/>
          <w:szCs w:val="28"/>
          <w:lang w:val="uk-UA" w:eastAsia="ar-SA"/>
        </w:rPr>
        <w:t xml:space="preserve"> досвіду виконання аналогічних робіт (з поданням копій укладених договорів та з відгуками замовників про якість їх виконання)»</w:t>
      </w:r>
      <w:r w:rsidRPr="004E55FE">
        <w:rPr>
          <w:iCs/>
          <w:color w:val="FF0000"/>
          <w:szCs w:val="28"/>
          <w:lang w:val="uk-UA" w:eastAsia="ar-SA"/>
        </w:rPr>
        <w:t xml:space="preserve"> </w:t>
      </w:r>
      <w:r w:rsidRPr="004E55FE">
        <w:rPr>
          <w:szCs w:val="28"/>
          <w:lang w:val="uk-UA"/>
        </w:rPr>
        <w:t xml:space="preserve"> визначається наступним чином: </w:t>
      </w:r>
    </w:p>
    <w:p w14:paraId="769C2A30" w14:textId="77777777" w:rsidR="00E87B9B" w:rsidRPr="004E55FE" w:rsidRDefault="00E87B9B" w:rsidP="00E87B9B">
      <w:pPr>
        <w:ind w:firstLine="360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 xml:space="preserve">Пропозиції конкурсних торгів в якій подані документи із найбільшою кількістю  укладених договорів та позитивних відгуків, присвоюється максимально можлива кількість балів (до 20 включно). Кількість балів для решти пропозицій конкурсних торгів визначається за формулою: </w:t>
      </w:r>
    </w:p>
    <w:p w14:paraId="600B6554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Б</w:t>
      </w:r>
      <w:r w:rsidRPr="004E55FE">
        <w:rPr>
          <w:szCs w:val="28"/>
          <w:vertAlign w:val="subscript"/>
          <w:lang w:val="uk-UA"/>
        </w:rPr>
        <w:t>обчисл</w:t>
      </w:r>
      <w:r w:rsidRPr="004E55FE">
        <w:rPr>
          <w:szCs w:val="28"/>
          <w:lang w:val="uk-UA"/>
        </w:rPr>
        <w:t xml:space="preserve"> = Т</w:t>
      </w:r>
      <w:r w:rsidRPr="004E55FE">
        <w:rPr>
          <w:szCs w:val="28"/>
          <w:vertAlign w:val="subscript"/>
          <w:lang w:val="uk-UA"/>
        </w:rPr>
        <w:t>min</w:t>
      </w:r>
      <w:r w:rsidRPr="004E55FE">
        <w:rPr>
          <w:szCs w:val="28"/>
          <w:lang w:val="uk-UA"/>
        </w:rPr>
        <w:t xml:space="preserve"> /Т</w:t>
      </w:r>
      <w:r w:rsidRPr="004E55FE">
        <w:rPr>
          <w:szCs w:val="28"/>
          <w:vertAlign w:val="subscript"/>
          <w:lang w:val="uk-UA"/>
        </w:rPr>
        <w:t>обчисл</w:t>
      </w:r>
      <w:r w:rsidRPr="004E55FE">
        <w:rPr>
          <w:szCs w:val="28"/>
          <w:lang w:val="uk-UA"/>
        </w:rPr>
        <w:t xml:space="preserve"> х 20, де </w:t>
      </w:r>
    </w:p>
    <w:p w14:paraId="303B24F4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Б</w:t>
      </w:r>
      <w:r w:rsidRPr="004E55FE">
        <w:rPr>
          <w:szCs w:val="28"/>
          <w:vertAlign w:val="subscript"/>
          <w:lang w:val="uk-UA"/>
        </w:rPr>
        <w:t xml:space="preserve">обчисл </w:t>
      </w:r>
      <w:r w:rsidRPr="004E55FE">
        <w:rPr>
          <w:szCs w:val="28"/>
          <w:lang w:val="uk-UA"/>
        </w:rPr>
        <w:t xml:space="preserve"> – обчислювана кількість балів;</w:t>
      </w:r>
    </w:p>
    <w:p w14:paraId="68056B85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Т</w:t>
      </w:r>
      <w:r w:rsidRPr="004E55FE">
        <w:rPr>
          <w:szCs w:val="28"/>
          <w:vertAlign w:val="subscript"/>
          <w:lang w:val="uk-UA"/>
        </w:rPr>
        <w:t>min</w:t>
      </w:r>
      <w:r w:rsidRPr="004E55FE">
        <w:rPr>
          <w:szCs w:val="28"/>
          <w:lang w:val="uk-UA"/>
        </w:rPr>
        <w:t xml:space="preserve"> – найбільша кількість укладених договорів та позитивних відгуків;</w:t>
      </w:r>
    </w:p>
    <w:p w14:paraId="32FAC713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Т</w:t>
      </w:r>
      <w:r w:rsidRPr="004E55FE">
        <w:rPr>
          <w:szCs w:val="28"/>
          <w:vertAlign w:val="subscript"/>
          <w:lang w:val="uk-UA"/>
        </w:rPr>
        <w:t>обчисл</w:t>
      </w:r>
      <w:r w:rsidRPr="004E55FE">
        <w:rPr>
          <w:szCs w:val="28"/>
          <w:lang w:val="uk-UA"/>
        </w:rPr>
        <w:t xml:space="preserve"> – умови розрахунку, зазначені в пропозиції конкурсних торгів, кількість балів для якої обчислюється;</w:t>
      </w:r>
    </w:p>
    <w:p w14:paraId="59B4041C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10 – максимально можлива кількість балів за критерієм «наявність</w:t>
      </w:r>
      <w:r w:rsidRPr="004E55FE">
        <w:rPr>
          <w:iCs/>
          <w:szCs w:val="28"/>
          <w:lang w:val="uk-UA" w:eastAsia="ar-SA"/>
        </w:rPr>
        <w:t xml:space="preserve"> досвіду виконання аналогічних робіт (з поданням копій укладених договорів та з відгуками замовників про якість їх виконання)»</w:t>
      </w:r>
      <w:r w:rsidRPr="004E55FE">
        <w:rPr>
          <w:szCs w:val="28"/>
          <w:lang w:val="uk-UA"/>
        </w:rPr>
        <w:t xml:space="preserve"> .</w:t>
      </w:r>
    </w:p>
    <w:p w14:paraId="6A0E88B3" w14:textId="77777777" w:rsidR="00E87B9B" w:rsidRPr="004E55FE" w:rsidRDefault="00E87B9B" w:rsidP="00E87B9B">
      <w:pPr>
        <w:ind w:firstLine="360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Одиниця виміру за критерієм</w:t>
      </w:r>
      <w:r w:rsidRPr="004E55FE">
        <w:rPr>
          <w:b/>
          <w:color w:val="FF0000"/>
          <w:szCs w:val="28"/>
          <w:lang w:val="uk-UA"/>
        </w:rPr>
        <w:t xml:space="preserve"> </w:t>
      </w:r>
      <w:r w:rsidRPr="004E55FE">
        <w:rPr>
          <w:szCs w:val="28"/>
          <w:lang w:val="uk-UA"/>
        </w:rPr>
        <w:t>«наявність</w:t>
      </w:r>
      <w:r w:rsidRPr="004E55FE">
        <w:rPr>
          <w:iCs/>
          <w:szCs w:val="28"/>
          <w:lang w:val="uk-UA" w:eastAsia="ar-SA"/>
        </w:rPr>
        <w:t xml:space="preserve"> досвіду виконання аналогічних робіт (з поданням копій укладених договорів та з відгуками замовників про якість їх виконання)» - кількість укладених та виконаних договорів</w:t>
      </w:r>
      <w:r w:rsidRPr="004E55FE">
        <w:rPr>
          <w:szCs w:val="28"/>
          <w:lang w:val="uk-UA"/>
        </w:rPr>
        <w:t>.</w:t>
      </w:r>
    </w:p>
    <w:p w14:paraId="4A9F35C2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Загальна кількість балів за всіма критеріями розраховується за формулою:</w:t>
      </w:r>
    </w:p>
    <w:p w14:paraId="58DE418C" w14:textId="77777777" w:rsidR="00E87B9B" w:rsidRPr="004E55FE" w:rsidRDefault="00E87B9B" w:rsidP="00E87B9B">
      <w:pPr>
        <w:ind w:firstLine="432"/>
        <w:jc w:val="both"/>
        <w:rPr>
          <w:szCs w:val="28"/>
          <w:lang w:val="uk-UA"/>
        </w:rPr>
      </w:pPr>
      <w:r w:rsidRPr="004E55FE">
        <w:rPr>
          <w:szCs w:val="28"/>
          <w:lang w:val="uk-UA"/>
        </w:rPr>
        <w:t>Загальна кількість балів = кількість балів за критерієм «Ціна» + кількість балів за критерієм «Строк виконання» + кількість балів за критерієм «наявність</w:t>
      </w:r>
      <w:r w:rsidRPr="004E55FE">
        <w:rPr>
          <w:iCs/>
          <w:szCs w:val="28"/>
          <w:lang w:val="uk-UA" w:eastAsia="ar-SA"/>
        </w:rPr>
        <w:t xml:space="preserve"> досвіду виконання аналогічних робіт (з поданням копій укладених договорів та з відгуками замовників про якість їх виконання)»</w:t>
      </w:r>
      <w:r w:rsidRPr="004E55FE">
        <w:rPr>
          <w:szCs w:val="28"/>
          <w:lang w:val="uk-UA"/>
        </w:rPr>
        <w:t>. Переможцем торгів визначається Учасник, пропозиція конкурсних торгів якого одержала найбільшу загальну кількість балів.</w:t>
      </w:r>
    </w:p>
    <w:p w14:paraId="61856B2E" w14:textId="77777777" w:rsidR="00E87B9B" w:rsidRPr="004E55FE" w:rsidRDefault="00E87B9B" w:rsidP="00E87B9B">
      <w:pPr>
        <w:shd w:val="clear" w:color="auto" w:fill="FFFFFF"/>
        <w:ind w:firstLine="567"/>
        <w:jc w:val="both"/>
        <w:rPr>
          <w:color w:val="0D0D0D"/>
          <w:szCs w:val="28"/>
          <w:lang w:val="uk-UA"/>
        </w:rPr>
      </w:pPr>
      <w:r w:rsidRPr="004E55FE">
        <w:rPr>
          <w:color w:val="0D0D0D"/>
          <w:szCs w:val="28"/>
          <w:lang w:val="uk-UA"/>
        </w:rPr>
        <w:t>Переможець визначається рішенням конкурсного комітету.</w:t>
      </w:r>
    </w:p>
    <w:p w14:paraId="566D9CF3" w14:textId="77777777" w:rsidR="00E87B9B" w:rsidRPr="00255590" w:rsidRDefault="00E87B9B" w:rsidP="00E87B9B">
      <w:pPr>
        <w:rPr>
          <w:lang w:val="uk-UA"/>
        </w:rPr>
      </w:pPr>
    </w:p>
    <w:p w14:paraId="63C6DE88" w14:textId="77777777" w:rsidR="00E87B9B" w:rsidRDefault="00E87B9B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452D7AC6" w14:textId="77777777" w:rsidR="00255590" w:rsidRDefault="00255590" w:rsidP="00255590">
      <w:pPr>
        <w:contextualSpacing/>
        <w:jc w:val="right"/>
        <w:rPr>
          <w:rFonts w:eastAsia="Calibri"/>
          <w:szCs w:val="28"/>
          <w:lang w:val="uk-UA"/>
        </w:rPr>
      </w:pPr>
    </w:p>
    <w:p w14:paraId="7CCBE135" w14:textId="77777777" w:rsidR="00255590" w:rsidRDefault="00255590" w:rsidP="00255590">
      <w:pPr>
        <w:contextualSpacing/>
        <w:jc w:val="right"/>
        <w:rPr>
          <w:rFonts w:eastAsia="Calibri"/>
          <w:szCs w:val="28"/>
          <w:lang w:val="uk-UA"/>
        </w:rPr>
      </w:pPr>
    </w:p>
    <w:bookmarkEnd w:id="1"/>
    <w:p w14:paraId="510882EB" w14:textId="77777777" w:rsidR="008725EB" w:rsidRPr="00255590" w:rsidRDefault="008725EB">
      <w:pPr>
        <w:rPr>
          <w:lang w:val="uk-UA"/>
        </w:rPr>
      </w:pPr>
    </w:p>
    <w:sectPr w:rsidR="008725EB" w:rsidRPr="00255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D2FC81" w15:done="1"/>
  <w15:commentEx w15:paraId="562DB9E1" w15:done="1"/>
  <w15:commentEx w15:paraId="3340BE7C" w15:done="1"/>
  <w15:commentEx w15:paraId="55D87B67" w15:done="1"/>
  <w15:commentEx w15:paraId="6D030EE2" w15:done="1"/>
  <w15:commentEx w15:paraId="38C11DAD" w15:done="1"/>
  <w15:commentEx w15:paraId="5EEB2FDA" w15:done="1"/>
  <w15:commentEx w15:paraId="7F979555" w15:paraIdParent="5EEB2FDA" w15:done="1"/>
  <w15:commentEx w15:paraId="7548E798" w15:done="1"/>
  <w15:commentEx w15:paraId="08E9AD08" w15:done="1"/>
  <w15:commentEx w15:paraId="079FB44C" w15:done="1"/>
  <w15:commentEx w15:paraId="77D8D245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758"/>
    <w:multiLevelType w:val="hybridMultilevel"/>
    <w:tmpl w:val="AB185110"/>
    <w:lvl w:ilvl="0" w:tplc="4A0044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55AFB"/>
    <w:multiLevelType w:val="multilevel"/>
    <w:tmpl w:val="A3DE25CE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1D8B10FD"/>
    <w:multiLevelType w:val="hybridMultilevel"/>
    <w:tmpl w:val="F224E01E"/>
    <w:lvl w:ilvl="0" w:tplc="A2425BA4">
      <w:start w:val="1"/>
      <w:numFmt w:val="bullet"/>
      <w:lvlText w:val="-"/>
      <w:lvlJc w:val="left"/>
      <w:pPr>
        <w:ind w:left="1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3CE46B2">
      <w:start w:val="1"/>
      <w:numFmt w:val="bullet"/>
      <w:lvlText w:val="o"/>
      <w:lvlJc w:val="left"/>
      <w:pPr>
        <w:ind w:left="13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81FE8114">
      <w:start w:val="1"/>
      <w:numFmt w:val="bullet"/>
      <w:lvlText w:val="▪"/>
      <w:lvlJc w:val="left"/>
      <w:pPr>
        <w:ind w:left="21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5D087C72">
      <w:start w:val="1"/>
      <w:numFmt w:val="bullet"/>
      <w:lvlText w:val="•"/>
      <w:lvlJc w:val="left"/>
      <w:pPr>
        <w:ind w:left="283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BF2800F6">
      <w:start w:val="1"/>
      <w:numFmt w:val="bullet"/>
      <w:lvlText w:val="o"/>
      <w:lvlJc w:val="left"/>
      <w:pPr>
        <w:ind w:left="355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485EA856">
      <w:start w:val="1"/>
      <w:numFmt w:val="bullet"/>
      <w:lvlText w:val="▪"/>
      <w:lvlJc w:val="left"/>
      <w:pPr>
        <w:ind w:left="42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C486D10">
      <w:start w:val="1"/>
      <w:numFmt w:val="bullet"/>
      <w:lvlText w:val="•"/>
      <w:lvlJc w:val="left"/>
      <w:pPr>
        <w:ind w:left="49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7CE4C76">
      <w:start w:val="1"/>
      <w:numFmt w:val="bullet"/>
      <w:lvlText w:val="o"/>
      <w:lvlJc w:val="left"/>
      <w:pPr>
        <w:ind w:left="57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196FBB6">
      <w:start w:val="1"/>
      <w:numFmt w:val="bullet"/>
      <w:lvlText w:val="▪"/>
      <w:lvlJc w:val="left"/>
      <w:pPr>
        <w:ind w:left="643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A664038"/>
    <w:multiLevelType w:val="hybridMultilevel"/>
    <w:tmpl w:val="3DAE9406"/>
    <w:lvl w:ilvl="0" w:tplc="29C26A3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91FB4"/>
    <w:multiLevelType w:val="hybridMultilevel"/>
    <w:tmpl w:val="9C70F9D2"/>
    <w:lvl w:ilvl="0" w:tplc="20A0FE5C">
      <w:start w:val="3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21415"/>
    <w:multiLevelType w:val="hybridMultilevel"/>
    <w:tmpl w:val="207A4746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96F9E"/>
    <w:multiLevelType w:val="hybridMultilevel"/>
    <w:tmpl w:val="48123EB6"/>
    <w:lvl w:ilvl="0" w:tplc="C9C0623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AA"/>
    <w:rsid w:val="000B7AA7"/>
    <w:rsid w:val="000B7E5F"/>
    <w:rsid w:val="001A47C9"/>
    <w:rsid w:val="0024478E"/>
    <w:rsid w:val="00255590"/>
    <w:rsid w:val="002614A1"/>
    <w:rsid w:val="00271196"/>
    <w:rsid w:val="0031702E"/>
    <w:rsid w:val="00382B26"/>
    <w:rsid w:val="00494615"/>
    <w:rsid w:val="004B0B6E"/>
    <w:rsid w:val="005A2896"/>
    <w:rsid w:val="00600D6B"/>
    <w:rsid w:val="00693392"/>
    <w:rsid w:val="008725EB"/>
    <w:rsid w:val="008948AA"/>
    <w:rsid w:val="008F70CE"/>
    <w:rsid w:val="0090368C"/>
    <w:rsid w:val="009F101B"/>
    <w:rsid w:val="00A03AA9"/>
    <w:rsid w:val="00AA60C3"/>
    <w:rsid w:val="00B45D6F"/>
    <w:rsid w:val="00BD5DB0"/>
    <w:rsid w:val="00C331B4"/>
    <w:rsid w:val="00D40369"/>
    <w:rsid w:val="00D45EE7"/>
    <w:rsid w:val="00D50A5E"/>
    <w:rsid w:val="00D95B49"/>
    <w:rsid w:val="00DF103F"/>
    <w:rsid w:val="00E87B9B"/>
    <w:rsid w:val="00E92AC3"/>
    <w:rsid w:val="00EA5C13"/>
    <w:rsid w:val="00E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A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590"/>
    <w:pPr>
      <w:ind w:firstLine="90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25559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255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a6">
    <w:name w:val="Title"/>
    <w:basedOn w:val="a"/>
    <w:link w:val="a7"/>
    <w:qFormat/>
    <w:rsid w:val="00255590"/>
    <w:pPr>
      <w:jc w:val="center"/>
    </w:pPr>
    <w:rPr>
      <w:b/>
      <w:szCs w:val="20"/>
      <w:lang w:val="uk-UA" w:eastAsia="uk-UA"/>
    </w:rPr>
  </w:style>
  <w:style w:type="character" w:customStyle="1" w:styleId="a7">
    <w:name w:val="Назва Знак"/>
    <w:basedOn w:val="a0"/>
    <w:link w:val="a6"/>
    <w:rsid w:val="0025559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normal">
    <w:name w:val="normal Знак"/>
    <w:link w:val="1"/>
    <w:locked/>
    <w:rsid w:val="00255590"/>
    <w:rPr>
      <w:rFonts w:ascii="Arial" w:eastAsia="Arial" w:hAnsi="Arial" w:cs="Arial"/>
      <w:color w:val="000000"/>
      <w:lang w:val="uk-UA" w:eastAsia="uk-UA"/>
    </w:rPr>
  </w:style>
  <w:style w:type="paragraph" w:customStyle="1" w:styleId="1">
    <w:name w:val="Обычный1"/>
    <w:link w:val="normal"/>
    <w:rsid w:val="00255590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TextChar">
    <w:name w:val="Text Char"/>
    <w:link w:val="Text"/>
    <w:locked/>
    <w:rsid w:val="00255590"/>
    <w:rPr>
      <w:rFonts w:ascii="Garamond" w:eastAsia="Calibri" w:hAnsi="Garamond"/>
      <w:sz w:val="23"/>
      <w:szCs w:val="23"/>
    </w:rPr>
  </w:style>
  <w:style w:type="paragraph" w:customStyle="1" w:styleId="Text">
    <w:name w:val="Text"/>
    <w:basedOn w:val="a"/>
    <w:link w:val="TextChar"/>
    <w:qFormat/>
    <w:rsid w:val="00255590"/>
    <w:pPr>
      <w:spacing w:after="100" w:afterAutospacing="1" w:line="276" w:lineRule="auto"/>
      <w:jc w:val="both"/>
    </w:pPr>
    <w:rPr>
      <w:rFonts w:ascii="Garamond" w:eastAsia="Calibri" w:hAnsi="Garamond" w:cstheme="minorBidi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D95B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5B49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95B4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5B4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D95B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5B4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95B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590"/>
    <w:pPr>
      <w:ind w:firstLine="90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25559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255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a6">
    <w:name w:val="Title"/>
    <w:basedOn w:val="a"/>
    <w:link w:val="a7"/>
    <w:qFormat/>
    <w:rsid w:val="00255590"/>
    <w:pPr>
      <w:jc w:val="center"/>
    </w:pPr>
    <w:rPr>
      <w:b/>
      <w:szCs w:val="20"/>
      <w:lang w:val="uk-UA" w:eastAsia="uk-UA"/>
    </w:rPr>
  </w:style>
  <w:style w:type="character" w:customStyle="1" w:styleId="a7">
    <w:name w:val="Назва Знак"/>
    <w:basedOn w:val="a0"/>
    <w:link w:val="a6"/>
    <w:rsid w:val="0025559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normal">
    <w:name w:val="normal Знак"/>
    <w:link w:val="1"/>
    <w:locked/>
    <w:rsid w:val="00255590"/>
    <w:rPr>
      <w:rFonts w:ascii="Arial" w:eastAsia="Arial" w:hAnsi="Arial" w:cs="Arial"/>
      <w:color w:val="000000"/>
      <w:lang w:val="uk-UA" w:eastAsia="uk-UA"/>
    </w:rPr>
  </w:style>
  <w:style w:type="paragraph" w:customStyle="1" w:styleId="1">
    <w:name w:val="Обычный1"/>
    <w:link w:val="normal"/>
    <w:rsid w:val="00255590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TextChar">
    <w:name w:val="Text Char"/>
    <w:link w:val="Text"/>
    <w:locked/>
    <w:rsid w:val="00255590"/>
    <w:rPr>
      <w:rFonts w:ascii="Garamond" w:eastAsia="Calibri" w:hAnsi="Garamond"/>
      <w:sz w:val="23"/>
      <w:szCs w:val="23"/>
    </w:rPr>
  </w:style>
  <w:style w:type="paragraph" w:customStyle="1" w:styleId="Text">
    <w:name w:val="Text"/>
    <w:basedOn w:val="a"/>
    <w:link w:val="TextChar"/>
    <w:qFormat/>
    <w:rsid w:val="00255590"/>
    <w:pPr>
      <w:spacing w:after="100" w:afterAutospacing="1" w:line="276" w:lineRule="auto"/>
      <w:jc w:val="both"/>
    </w:pPr>
    <w:rPr>
      <w:rFonts w:ascii="Garamond" w:eastAsia="Calibri" w:hAnsi="Garamond" w:cstheme="minorBidi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D95B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5B49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95B4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5B4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D95B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5B4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95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51BF-B221-4584-9554-EABD2160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12086</Words>
  <Characters>6890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Andriy_new</cp:lastModifiedBy>
  <cp:revision>2</cp:revision>
  <dcterms:created xsi:type="dcterms:W3CDTF">2019-06-05T12:42:00Z</dcterms:created>
  <dcterms:modified xsi:type="dcterms:W3CDTF">2019-06-05T12:42:00Z</dcterms:modified>
</cp:coreProperties>
</file>